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B8" w:rsidRDefault="00DC0DB8" w:rsidP="00DC0DB8">
      <w:pPr>
        <w:rPr>
          <w:rFonts w:ascii="Arial" w:eastAsia="Times New Roman" w:hAnsi="Arial" w:cs="Arial"/>
          <w:b/>
          <w:bCs/>
          <w:lang w:eastAsia="tr-TR"/>
        </w:rPr>
      </w:pPr>
      <w:bookmarkStart w:id="0" w:name="_GoBack"/>
      <w:bookmarkEnd w:id="0"/>
      <w:r w:rsidRPr="006D1E3E">
        <w:rPr>
          <w:rFonts w:ascii="Arial" w:eastAsia="Times New Roman" w:hAnsi="Arial" w:cs="Arial"/>
          <w:b/>
          <w:bCs/>
          <w:lang w:eastAsia="tr-TR"/>
        </w:rPr>
        <w:t>MERKEZİ KAYIT KURULUŞU A.Ş. MERKEZİ KAYDİ SİSTEM İŞ VE BİLİŞİM UYGULAMA İLKE VE KURALLARI YÖNERGESİ</w:t>
      </w:r>
    </w:p>
    <w:p w:rsidR="00DC0DB8" w:rsidRPr="007522B3" w:rsidRDefault="00DC0DB8" w:rsidP="00DC0DB8">
      <w:pPr>
        <w:keepNext/>
        <w:spacing w:after="0" w:line="240" w:lineRule="auto"/>
        <w:outlineLvl w:val="1"/>
        <w:rPr>
          <w:rFonts w:ascii="Arial" w:hAnsi="Arial" w:cs="Arial"/>
          <w:b/>
        </w:rPr>
      </w:pPr>
      <w:bookmarkStart w:id="1" w:name="_Toc15050921"/>
      <w:r w:rsidRPr="007522B3">
        <w:rPr>
          <w:rFonts w:ascii="Arial" w:hAnsi="Arial"/>
          <w:b/>
        </w:rPr>
        <w:t>R. ELEKTRONİK ÜRÜN SENEDİ (ELÜS) İŞLEMLERİ</w:t>
      </w:r>
      <w:bookmarkEnd w:id="1"/>
    </w:p>
    <w:p w:rsidR="00317784" w:rsidRDefault="003177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6237"/>
      </w:tblGrid>
      <w:tr w:rsidR="00DC0DB8" w:rsidRPr="00AE355B" w:rsidTr="00DC0DB8">
        <w:tc>
          <w:tcPr>
            <w:tcW w:w="6232" w:type="dxa"/>
          </w:tcPr>
          <w:p w:rsidR="00DC0DB8" w:rsidRPr="00AE355B" w:rsidRDefault="00DC0DB8" w:rsidP="003C195B">
            <w:pPr>
              <w:rPr>
                <w:b/>
              </w:rPr>
            </w:pPr>
            <w:r w:rsidRPr="00AE355B">
              <w:rPr>
                <w:b/>
              </w:rPr>
              <w:t>MADDE/ MEVCUT İÇERİK</w:t>
            </w:r>
          </w:p>
        </w:tc>
        <w:tc>
          <w:tcPr>
            <w:tcW w:w="6237" w:type="dxa"/>
          </w:tcPr>
          <w:p w:rsidR="00DC0DB8" w:rsidRPr="00AE355B" w:rsidRDefault="00DC0DB8" w:rsidP="003C195B">
            <w:pPr>
              <w:rPr>
                <w:b/>
              </w:rPr>
            </w:pPr>
            <w:r w:rsidRPr="00AE355B">
              <w:rPr>
                <w:b/>
              </w:rPr>
              <w:t>GÜNCELLEME</w:t>
            </w:r>
            <w:r>
              <w:rPr>
                <w:b/>
              </w:rPr>
              <w:t>/YENİ</w:t>
            </w:r>
          </w:p>
        </w:tc>
      </w:tr>
      <w:tr w:rsidR="00DC0DB8" w:rsidRPr="00337765" w:rsidTr="00DC0DB8">
        <w:tc>
          <w:tcPr>
            <w:tcW w:w="6232" w:type="dxa"/>
          </w:tcPr>
          <w:p w:rsidR="00DC0DB8" w:rsidRPr="003660E2" w:rsidRDefault="00DC0DB8" w:rsidP="00DC0D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spellStart"/>
            <w:r w:rsidRPr="003660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ELÜS'ler</w:t>
            </w:r>
            <w:proofErr w:type="spellEnd"/>
            <w:r w:rsidRPr="003660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misli ve ayni nitelikte izlenebilir. Misli nitelikte izlenen </w:t>
            </w:r>
            <w:proofErr w:type="spellStart"/>
            <w:r w:rsidRPr="003660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ELÜS'ler</w:t>
            </w:r>
            <w:proofErr w:type="spellEnd"/>
            <w:r w:rsidRPr="003660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"A" ek tanımı ile izlenir. Aynen izlenen </w:t>
            </w:r>
            <w:proofErr w:type="spellStart"/>
            <w:r w:rsidRPr="003660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ELÜS'ler</w:t>
            </w:r>
            <w:proofErr w:type="spellEnd"/>
            <w:r w:rsidRPr="003660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için kıymet ek tanımı farklılaştırılır.</w:t>
            </w:r>
          </w:p>
          <w:p w:rsidR="00DC0DB8" w:rsidRDefault="00DC0DB8" w:rsidP="003C195B">
            <w:pPr>
              <w:pStyle w:val="ListParagraph"/>
              <w:ind w:left="717"/>
              <w:jc w:val="both"/>
              <w:rPr>
                <w:rFonts w:ascii="Arial" w:hAnsi="Arial" w:cs="Arial"/>
              </w:rPr>
            </w:pPr>
          </w:p>
          <w:p w:rsidR="00DC0DB8" w:rsidRDefault="00DC0DB8" w:rsidP="003C195B">
            <w:pPr>
              <w:jc w:val="both"/>
              <w:rPr>
                <w:rFonts w:ascii="Arial" w:hAnsi="Arial" w:cs="Arial"/>
              </w:rPr>
            </w:pPr>
          </w:p>
          <w:p w:rsidR="00DC0DB8" w:rsidRDefault="00DC0DB8" w:rsidP="003C195B">
            <w:pPr>
              <w:jc w:val="both"/>
              <w:rPr>
                <w:rFonts w:ascii="Arial" w:hAnsi="Arial" w:cs="Arial"/>
              </w:rPr>
            </w:pPr>
          </w:p>
          <w:p w:rsidR="00DC0DB8" w:rsidRDefault="00DC0DB8" w:rsidP="003C195B">
            <w:pPr>
              <w:jc w:val="both"/>
              <w:rPr>
                <w:rFonts w:ascii="Arial" w:hAnsi="Arial" w:cs="Arial"/>
              </w:rPr>
            </w:pPr>
          </w:p>
          <w:p w:rsidR="00DC0DB8" w:rsidRPr="00354A86" w:rsidRDefault="00DC0DB8" w:rsidP="003C19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proofErr w:type="spellStart"/>
            <w:r w:rsidRPr="00354A86">
              <w:rPr>
                <w:rFonts w:ascii="Arial" w:hAnsi="Arial" w:cs="Arial"/>
              </w:rPr>
              <w:t>ELÜS'lerin</w:t>
            </w:r>
            <w:proofErr w:type="spellEnd"/>
            <w:r w:rsidRPr="00354A86">
              <w:rPr>
                <w:rFonts w:ascii="Arial" w:hAnsi="Arial" w:cs="Arial"/>
              </w:rPr>
              <w:t xml:space="preserve"> Bakanlıkça yetkilendirilen TÜRİB gerçekleştirilen alım satım işlemleri ve bunlara ilişkin takas süreci </w:t>
            </w:r>
            <w:proofErr w:type="spellStart"/>
            <w:proofErr w:type="gramStart"/>
            <w:r w:rsidRPr="00354A86">
              <w:rPr>
                <w:rFonts w:ascii="Arial" w:hAnsi="Arial" w:cs="Arial"/>
              </w:rPr>
              <w:t>TÜRİB’in</w:t>
            </w:r>
            <w:proofErr w:type="spellEnd"/>
            <w:r w:rsidRPr="00354A86">
              <w:rPr>
                <w:rFonts w:ascii="Arial" w:hAnsi="Arial" w:cs="Arial"/>
              </w:rPr>
              <w:t xml:space="preserve">  düzenlemeleri</w:t>
            </w:r>
            <w:proofErr w:type="gramEnd"/>
            <w:r w:rsidRPr="00354A86">
              <w:rPr>
                <w:rFonts w:ascii="Arial" w:hAnsi="Arial" w:cs="Arial"/>
              </w:rPr>
              <w:t xml:space="preserve"> doğrultusunda gerçekleştirilir.</w:t>
            </w:r>
          </w:p>
          <w:p w:rsidR="00DC0DB8" w:rsidRDefault="00DC0DB8" w:rsidP="003C195B">
            <w:pPr>
              <w:ind w:left="9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Uygulamada;</w:t>
            </w: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86">
              <w:rPr>
                <w:rFonts w:ascii="Arial" w:hAnsi="Arial" w:cs="Arial"/>
                <w:sz w:val="22"/>
                <w:szCs w:val="22"/>
              </w:rPr>
              <w:t xml:space="preserve">MKS’de mudi hesaplarında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bulunan  işlem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gören ELÜS bakiyeleri, üye,  hesap ve sicil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bazında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TÜRİB’e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 bildirilir</w:t>
            </w:r>
          </w:p>
          <w:p w:rsidR="00DC0DB8" w:rsidRPr="00354A86" w:rsidRDefault="00DC0DB8" w:rsidP="003C195B">
            <w:pPr>
              <w:pStyle w:val="ListParagraph"/>
              <w:ind w:left="16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TÜRİB’e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iletilen satış emrine istinaden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mudinin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hesabındaki satış emri kadar bakiye ELUS TÜRİB Bakiye Teyit Blokaj Alt Hesabına aktarılır.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Mudinin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satış emrini iptal etmesi halinde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blokaj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iptali gerçekleştirilerek bakiye, Serbest alt hesaba aktarılır.</w:t>
            </w:r>
            <w:r w:rsidRPr="00354A86" w:rsidDel="0083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TÜRİB’deişlemlerin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tamamlanmasından sonra satış işlemlerini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MKK’ya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iletir. MKK nezdinde satışa konu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lastRenderedPageBreak/>
              <w:t>ELÜS’ler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Türkiye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Ürün  Borsası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Blokaj Alt Hesabına aktarılır.</w:t>
            </w:r>
          </w:p>
          <w:p w:rsidR="00DC0DB8" w:rsidRPr="00354A86" w:rsidRDefault="00DC0DB8" w:rsidP="003C195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86">
              <w:rPr>
                <w:rFonts w:ascii="Arial" w:hAnsi="Arial" w:cs="Arial"/>
                <w:sz w:val="22"/>
                <w:szCs w:val="22"/>
              </w:rPr>
              <w:t xml:space="preserve">MKK tarafından ilgili ELÜS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ler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için depo gün sayısı bilgisi </w:t>
            </w:r>
            <w:proofErr w:type="spellStart"/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TÜRİB’e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 bildirilir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0DB8" w:rsidRPr="00354A86" w:rsidRDefault="00DC0DB8" w:rsidP="003C195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86">
              <w:rPr>
                <w:rFonts w:ascii="Arial" w:hAnsi="Arial" w:cs="Arial"/>
                <w:sz w:val="22"/>
                <w:szCs w:val="22"/>
              </w:rPr>
              <w:t xml:space="preserve">Takas işlemleri, takas kurumu tarafından iletilen bilgiler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kapsamında  mudi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hesaplarına yansıtılır.</w:t>
            </w:r>
          </w:p>
          <w:p w:rsidR="00DC0DB8" w:rsidRPr="00246E29" w:rsidRDefault="00DC0DB8" w:rsidP="003C195B">
            <w:pPr>
              <w:pStyle w:val="ListParagraph"/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8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Takas işlemi gerçekleşmeyen ve bloke alt hesabında bulunan ELÜS bakiyeleri gün sonunda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mudinin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SERB alt hesabına aktarılır.</w:t>
            </w:r>
          </w:p>
          <w:p w:rsidR="00DC0DB8" w:rsidRPr="00773F39" w:rsidRDefault="00DC0DB8" w:rsidP="003C195B">
            <w:pPr>
              <w:pStyle w:val="ListParagraph"/>
              <w:ind w:left="717"/>
              <w:jc w:val="both"/>
              <w:rPr>
                <w:rFonts w:ascii="Arial" w:hAnsi="Arial" w:cs="Arial"/>
              </w:rPr>
            </w:pPr>
          </w:p>
          <w:p w:rsidR="00DC0DB8" w:rsidRPr="00AE355B" w:rsidRDefault="00DC0DB8" w:rsidP="003C195B">
            <w:pPr>
              <w:pStyle w:val="PlainText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DC0DB8" w:rsidRPr="00337765" w:rsidRDefault="00DC0DB8" w:rsidP="00DC0DB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765">
              <w:rPr>
                <w:rFonts w:ascii="Arial" w:hAnsi="Arial" w:cs="Arial"/>
                <w:sz w:val="22"/>
                <w:szCs w:val="22"/>
              </w:rPr>
              <w:lastRenderedPageBreak/>
              <w:t>ELÜS'ler</w:t>
            </w:r>
            <w:proofErr w:type="spellEnd"/>
            <w:r w:rsidRPr="00337765">
              <w:rPr>
                <w:rFonts w:ascii="Arial" w:hAnsi="Arial" w:cs="Arial"/>
                <w:sz w:val="22"/>
                <w:szCs w:val="22"/>
              </w:rPr>
              <w:t xml:space="preserve"> misli ve ayni nitelikte izlenebilir. Misli nitelikte izlenen </w:t>
            </w:r>
            <w:proofErr w:type="spellStart"/>
            <w:r w:rsidRPr="00337765">
              <w:rPr>
                <w:rFonts w:ascii="Arial" w:hAnsi="Arial" w:cs="Arial"/>
                <w:sz w:val="22"/>
                <w:szCs w:val="22"/>
              </w:rPr>
              <w:t>ELÜS'ler</w:t>
            </w:r>
            <w:r w:rsidRPr="00DC0DB8">
              <w:rPr>
                <w:rFonts w:ascii="Arial" w:hAnsi="Arial" w:cs="Arial"/>
                <w:color w:val="FF0000"/>
                <w:sz w:val="22"/>
                <w:szCs w:val="22"/>
              </w:rPr>
              <w:t>in</w:t>
            </w:r>
            <w:proofErr w:type="spellEnd"/>
            <w:r w:rsidRPr="00337765">
              <w:rPr>
                <w:rFonts w:ascii="Arial" w:hAnsi="Arial" w:cs="Arial"/>
                <w:sz w:val="22"/>
                <w:szCs w:val="22"/>
              </w:rPr>
              <w:t xml:space="preserve"> ek tanım</w:t>
            </w:r>
            <w:r w:rsidRPr="00DC0DB8">
              <w:rPr>
                <w:rFonts w:ascii="Arial" w:hAnsi="Arial" w:cs="Arial"/>
                <w:strike/>
                <w:color w:val="0070C0"/>
                <w:sz w:val="22"/>
                <w:szCs w:val="22"/>
              </w:rPr>
              <w:t>ı</w:t>
            </w:r>
            <w:r w:rsidRPr="00337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0DB8">
              <w:rPr>
                <w:rFonts w:ascii="Arial" w:hAnsi="Arial" w:cs="Arial"/>
                <w:color w:val="FF0000"/>
                <w:sz w:val="22"/>
                <w:szCs w:val="22"/>
              </w:rPr>
              <w:t>bilgisi “A” şeklindedir.</w:t>
            </w:r>
            <w:r w:rsidRPr="003660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C0DB8">
              <w:rPr>
                <w:rFonts w:ascii="Arial" w:eastAsiaTheme="minorHAnsi" w:hAnsi="Arial" w:cs="Arial"/>
                <w:strike/>
                <w:color w:val="0070C0"/>
                <w:sz w:val="22"/>
                <w:szCs w:val="22"/>
                <w:lang w:eastAsia="en-US"/>
              </w:rPr>
              <w:t>ile</w:t>
            </w:r>
            <w:proofErr w:type="gramEnd"/>
            <w:r w:rsidRPr="00DC0DB8">
              <w:rPr>
                <w:rFonts w:ascii="Arial" w:eastAsiaTheme="minorHAnsi" w:hAnsi="Arial" w:cs="Arial"/>
                <w:strike/>
                <w:color w:val="0070C0"/>
                <w:sz w:val="22"/>
                <w:szCs w:val="22"/>
                <w:lang w:eastAsia="en-US"/>
              </w:rPr>
              <w:t xml:space="preserve"> izlenir. </w:t>
            </w:r>
            <w:r w:rsidRPr="00DC0DB8">
              <w:rPr>
                <w:rFonts w:ascii="Arial" w:hAnsi="Arial" w:cs="Arial"/>
                <w:strike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C0DB8">
              <w:rPr>
                <w:rFonts w:ascii="Arial" w:hAnsi="Arial" w:cs="Arial"/>
                <w:color w:val="FF0000"/>
                <w:sz w:val="22"/>
                <w:szCs w:val="22"/>
              </w:rPr>
              <w:t>TÜRİB’de</w:t>
            </w:r>
            <w:proofErr w:type="spellEnd"/>
            <w:r w:rsidRPr="00DC0DB8">
              <w:rPr>
                <w:rFonts w:ascii="Arial" w:hAnsi="Arial" w:cs="Arial"/>
                <w:color w:val="FF0000"/>
                <w:sz w:val="22"/>
                <w:szCs w:val="22"/>
              </w:rPr>
              <w:t xml:space="preserve"> işlem görmemesi kararı ile bağlantılı olarak mevcutta “A” olarak izlenen ek tanım bilgisi “KZ” olarak düzenlenir. </w:t>
            </w:r>
            <w:r w:rsidRPr="00337765">
              <w:rPr>
                <w:rFonts w:ascii="Arial" w:hAnsi="Arial" w:cs="Arial"/>
                <w:sz w:val="22"/>
                <w:szCs w:val="22"/>
              </w:rPr>
              <w:t xml:space="preserve">Aynen izlenen </w:t>
            </w:r>
            <w:proofErr w:type="spellStart"/>
            <w:r w:rsidRPr="00337765">
              <w:rPr>
                <w:rFonts w:ascii="Arial" w:hAnsi="Arial" w:cs="Arial"/>
                <w:sz w:val="22"/>
                <w:szCs w:val="22"/>
              </w:rPr>
              <w:t>ELÜS'ler</w:t>
            </w:r>
            <w:proofErr w:type="spellEnd"/>
            <w:r w:rsidRPr="00337765">
              <w:rPr>
                <w:rFonts w:ascii="Arial" w:hAnsi="Arial" w:cs="Arial"/>
                <w:sz w:val="22"/>
                <w:szCs w:val="22"/>
              </w:rPr>
              <w:t xml:space="preserve"> için kıymet ek tanımı </w:t>
            </w:r>
            <w:r w:rsidRPr="00DC0DB8">
              <w:rPr>
                <w:rFonts w:ascii="Arial" w:hAnsi="Arial" w:cs="Arial"/>
                <w:color w:val="FF0000"/>
                <w:sz w:val="22"/>
                <w:szCs w:val="22"/>
              </w:rPr>
              <w:t xml:space="preserve">her ürün için </w:t>
            </w:r>
            <w:r w:rsidRPr="00337765">
              <w:rPr>
                <w:rFonts w:ascii="Arial" w:hAnsi="Arial" w:cs="Arial"/>
                <w:sz w:val="22"/>
                <w:szCs w:val="22"/>
              </w:rPr>
              <w:t>farklılaştırılır.</w:t>
            </w:r>
          </w:p>
          <w:p w:rsidR="00DC0DB8" w:rsidRPr="00337765" w:rsidRDefault="00DC0DB8" w:rsidP="003C195B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</w:p>
          <w:p w:rsidR="00DC0DB8" w:rsidRPr="00337765" w:rsidRDefault="00DC0DB8" w:rsidP="003C195B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</w:p>
          <w:p w:rsidR="00DC0DB8" w:rsidRPr="00337765" w:rsidRDefault="00DC0DB8" w:rsidP="003C195B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337765">
              <w:rPr>
                <w:rFonts w:ascii="Arial" w:eastAsia="Times New Roman" w:hAnsi="Arial" w:cs="Arial"/>
                <w:lang w:eastAsia="tr-TR"/>
              </w:rPr>
              <w:t>8.</w:t>
            </w:r>
            <w:r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337765">
              <w:rPr>
                <w:rFonts w:ascii="Arial" w:eastAsia="Times New Roman" w:hAnsi="Arial" w:cs="Arial"/>
                <w:lang w:eastAsia="tr-TR"/>
              </w:rPr>
              <w:t>ELÜS'lerin</w:t>
            </w:r>
            <w:proofErr w:type="spellEnd"/>
            <w:r w:rsidRPr="00337765">
              <w:rPr>
                <w:rFonts w:ascii="Arial" w:eastAsia="Times New Roman" w:hAnsi="Arial" w:cs="Arial"/>
                <w:lang w:eastAsia="tr-TR"/>
              </w:rPr>
              <w:t xml:space="preserve"> Bakanlıkça yetkilendirilen TÜRİB gerçekleştirilen alım satım işlemleri ve bunlara ilişkin takas süreci </w:t>
            </w:r>
            <w:proofErr w:type="spellStart"/>
            <w:proofErr w:type="gramStart"/>
            <w:r w:rsidRPr="00337765">
              <w:rPr>
                <w:rFonts w:ascii="Arial" w:eastAsia="Times New Roman" w:hAnsi="Arial" w:cs="Arial"/>
                <w:lang w:eastAsia="tr-TR"/>
              </w:rPr>
              <w:t>TÜRİB’in</w:t>
            </w:r>
            <w:proofErr w:type="spellEnd"/>
            <w:r w:rsidRPr="00337765">
              <w:rPr>
                <w:rFonts w:ascii="Arial" w:eastAsia="Times New Roman" w:hAnsi="Arial" w:cs="Arial"/>
                <w:lang w:eastAsia="tr-TR"/>
              </w:rPr>
              <w:t xml:space="preserve">  düzenlemeleri</w:t>
            </w:r>
            <w:proofErr w:type="gramEnd"/>
            <w:r w:rsidRPr="00337765">
              <w:rPr>
                <w:rFonts w:ascii="Arial" w:eastAsia="Times New Roman" w:hAnsi="Arial" w:cs="Arial"/>
                <w:lang w:eastAsia="tr-TR"/>
              </w:rPr>
              <w:t xml:space="preserve"> doğrultusunda gerçekleştirilir.</w:t>
            </w:r>
          </w:p>
          <w:p w:rsidR="00DC0DB8" w:rsidRPr="00337765" w:rsidRDefault="00DC0DB8" w:rsidP="003C195B">
            <w:pPr>
              <w:ind w:left="927"/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337765">
              <w:rPr>
                <w:rFonts w:ascii="Arial" w:eastAsia="Times New Roman" w:hAnsi="Arial" w:cs="Arial"/>
                <w:lang w:eastAsia="tr-TR"/>
              </w:rPr>
              <w:t>Uygulamada;</w:t>
            </w: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86">
              <w:rPr>
                <w:rFonts w:ascii="Arial" w:hAnsi="Arial" w:cs="Arial"/>
                <w:sz w:val="22"/>
                <w:szCs w:val="22"/>
              </w:rPr>
              <w:t xml:space="preserve">MKS’de mudi hesaplarında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bulunan  işlem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gören ELÜS bakiyeleri, üye,  hesap ve sicil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bazında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TÜRİB’e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 bildirilir</w:t>
            </w:r>
          </w:p>
          <w:p w:rsidR="00DC0DB8" w:rsidRPr="00354A86" w:rsidRDefault="00DC0DB8" w:rsidP="003C195B">
            <w:pPr>
              <w:pStyle w:val="ListParagraph"/>
              <w:ind w:left="16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TÜRİB’e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iletilen satış emrine istinaden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mudinin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hesabındaki satış emri kadar bakiye ELUS TÜRİB Bakiye Teyit Blokaj Alt Hesabına aktarılır.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Mudinin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satış emrini iptal etmesi halinde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blokaj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iptali gerçekleştirilerek bakiye, Serbest alt hesaba aktarılır.</w:t>
            </w:r>
            <w:r w:rsidRPr="00354A86" w:rsidDel="0083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TÜRİB’deişlemlerin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tamamlanmasından sonra satış işlemlerini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MKK’ya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iletir. MKK nezdinde satışa konu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lastRenderedPageBreak/>
              <w:t>ELÜS’ler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Türkiye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Ürün  Borsası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Blokaj Alt Hesabına aktarılır.</w:t>
            </w:r>
          </w:p>
          <w:p w:rsidR="00DC0DB8" w:rsidRPr="00354A86" w:rsidRDefault="00DC0DB8" w:rsidP="003C195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86">
              <w:rPr>
                <w:rFonts w:ascii="Arial" w:hAnsi="Arial" w:cs="Arial"/>
                <w:sz w:val="22"/>
                <w:szCs w:val="22"/>
              </w:rPr>
              <w:t xml:space="preserve">MKK tarafından ilgili ELÜS </w:t>
            </w:r>
            <w:proofErr w:type="spellStart"/>
            <w:r w:rsidRPr="00354A86">
              <w:rPr>
                <w:rFonts w:ascii="Arial" w:hAnsi="Arial" w:cs="Arial"/>
                <w:sz w:val="22"/>
                <w:szCs w:val="22"/>
              </w:rPr>
              <w:t>ler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için depo gün sayısı bilgisi </w:t>
            </w:r>
            <w:proofErr w:type="spellStart"/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TÜRİB’e</w:t>
            </w:r>
            <w:proofErr w:type="spellEnd"/>
            <w:r w:rsidRPr="00354A86">
              <w:rPr>
                <w:rFonts w:ascii="Arial" w:hAnsi="Arial" w:cs="Arial"/>
                <w:sz w:val="22"/>
                <w:szCs w:val="22"/>
              </w:rPr>
              <w:t xml:space="preserve">  bildirilir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0DB8" w:rsidRPr="00354A86" w:rsidRDefault="00DC0DB8" w:rsidP="003C195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C0DB8" w:rsidRPr="00354A86" w:rsidRDefault="00DC0DB8" w:rsidP="00DC0DB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A86">
              <w:rPr>
                <w:rFonts w:ascii="Arial" w:hAnsi="Arial" w:cs="Arial"/>
                <w:sz w:val="22"/>
                <w:szCs w:val="22"/>
              </w:rPr>
              <w:t xml:space="preserve">Takas işlemleri, takas kurumu tarafından iletilen bilgiler </w:t>
            </w:r>
            <w:proofErr w:type="gramStart"/>
            <w:r w:rsidRPr="00354A86">
              <w:rPr>
                <w:rFonts w:ascii="Arial" w:hAnsi="Arial" w:cs="Arial"/>
                <w:sz w:val="22"/>
                <w:szCs w:val="22"/>
              </w:rPr>
              <w:t>kapsamında  mudi</w:t>
            </w:r>
            <w:proofErr w:type="gramEnd"/>
            <w:r w:rsidRPr="00354A86">
              <w:rPr>
                <w:rFonts w:ascii="Arial" w:hAnsi="Arial" w:cs="Arial"/>
                <w:sz w:val="22"/>
                <w:szCs w:val="22"/>
              </w:rPr>
              <w:t xml:space="preserve"> hesaplarına yansıtılır.</w:t>
            </w:r>
          </w:p>
          <w:p w:rsidR="00DC0DB8" w:rsidRPr="00246E29" w:rsidRDefault="00DC0DB8" w:rsidP="003C195B">
            <w:pPr>
              <w:pStyle w:val="ListParagraph"/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DC0DB8" w:rsidRDefault="00DC0DB8" w:rsidP="00DC0DB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765">
              <w:rPr>
                <w:rFonts w:ascii="Arial" w:hAnsi="Arial" w:cs="Arial"/>
                <w:sz w:val="22"/>
                <w:szCs w:val="22"/>
              </w:rPr>
              <w:t xml:space="preserve">Takas işlemi gerçekleşmeyen ve bloke alt hesabında bulunan ELÜS bakiyeleri gün sonunda </w:t>
            </w:r>
            <w:proofErr w:type="spellStart"/>
            <w:r w:rsidRPr="00337765">
              <w:rPr>
                <w:rFonts w:ascii="Arial" w:hAnsi="Arial" w:cs="Arial"/>
                <w:sz w:val="22"/>
                <w:szCs w:val="22"/>
              </w:rPr>
              <w:t>mudinin</w:t>
            </w:r>
            <w:proofErr w:type="spellEnd"/>
            <w:r w:rsidRPr="00337765">
              <w:rPr>
                <w:rFonts w:ascii="Arial" w:hAnsi="Arial" w:cs="Arial"/>
                <w:sz w:val="22"/>
                <w:szCs w:val="22"/>
              </w:rPr>
              <w:t xml:space="preserve"> SERB alt hesabına aktarılır.</w:t>
            </w:r>
          </w:p>
          <w:p w:rsidR="00DC0DB8" w:rsidRPr="003C195B" w:rsidRDefault="00DC0DB8" w:rsidP="003C195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C0DB8" w:rsidRPr="00337765" w:rsidRDefault="00DC0DB8" w:rsidP="00DC0DB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Mudiler tarafından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TÜRİB’de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satın alınan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ELÜS’lerin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Düzenleyiciler tarafından alınan karar kapsamında,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TÜRİB’de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satışının söz konusu olmadığı durumlarda (örneğin, tahsisli işlemler), ilgili ELÜS ek tanım bilgilerinin MKK tarafından KZ olarak dönüşümü sağlanır. Bu kapsamda işleme konu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ELÜSler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için, TÜRİB tarafından; üye, hesap, ISIN, bakiye bilgisi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MKK’ya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iletilir.  “KZ” ek tanımla izlenen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ELÜS’ler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, takas işlemi dışında işlemlere konu olabilir. Söz konusu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ELÜS’lerin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teminata konu olması ve yatırım kuruluşu alacağının teminattan karşılanması durumunda, ilgili yatırım kuruluşunun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MKK’ya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yazılı talebi çerçevesinde “KZ” ek tanımlı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ELÜS’ler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“A” ek tanıma dönüştürülür ve </w:t>
            </w:r>
            <w:proofErr w:type="spellStart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>TÜRİB’de</w:t>
            </w:r>
            <w:proofErr w:type="spellEnd"/>
            <w:r w:rsidRPr="00DC0DB8">
              <w:rPr>
                <w:rFonts w:ascii="Arial" w:eastAsiaTheme="minorHAnsi" w:hAnsi="Arial" w:cs="Arial"/>
                <w:color w:val="FF0000"/>
                <w:lang w:eastAsia="en-US"/>
              </w:rPr>
              <w:t xml:space="preserve"> işleme konu olması sağlanır.</w:t>
            </w:r>
          </w:p>
        </w:tc>
      </w:tr>
    </w:tbl>
    <w:p w:rsidR="00DC0DB8" w:rsidRDefault="00DC0DB8"/>
    <w:p w:rsidR="009113AF" w:rsidRPr="00DB208E" w:rsidRDefault="009113AF" w:rsidP="009113AF">
      <w:pPr>
        <w:pStyle w:val="Heading3"/>
        <w:spacing w:before="0" w:after="0"/>
        <w:rPr>
          <w:szCs w:val="22"/>
        </w:rPr>
      </w:pPr>
      <w:bookmarkStart w:id="2" w:name="_Toc15050895"/>
      <w:r w:rsidRPr="00DB208E">
        <w:t xml:space="preserve">J.2 - </w:t>
      </w:r>
      <w:r w:rsidRPr="00DB208E">
        <w:rPr>
          <w:szCs w:val="22"/>
        </w:rPr>
        <w:t>Hizmetler</w:t>
      </w:r>
      <w:bookmarkEnd w:id="2"/>
    </w:p>
    <w:p w:rsidR="009113AF" w:rsidRPr="00DB208E" w:rsidRDefault="009113AF" w:rsidP="009113AF">
      <w:pPr>
        <w:spacing w:after="0" w:line="240" w:lineRule="auto"/>
        <w:ind w:left="360"/>
        <w:jc w:val="both"/>
        <w:rPr>
          <w:rFonts w:ascii="Arial" w:hAnsi="Arial"/>
          <w:b/>
        </w:rPr>
      </w:pPr>
      <w:r w:rsidRPr="009113AF">
        <w:rPr>
          <w:rFonts w:ascii="Arial" w:hAnsi="Arial"/>
          <w:b/>
        </w:rPr>
        <w:t>2.</w:t>
      </w:r>
      <w:r w:rsidRPr="00DB208E">
        <w:rPr>
          <w:rFonts w:ascii="Arial" w:hAnsi="Arial"/>
        </w:rPr>
        <w:t xml:space="preserve">  </w:t>
      </w:r>
      <w:r w:rsidRPr="00DB208E">
        <w:rPr>
          <w:rFonts w:ascii="Arial" w:hAnsi="Arial"/>
          <w:b/>
        </w:rPr>
        <w:t>Hesaplarla ilgili işlemler</w:t>
      </w:r>
    </w:p>
    <w:p w:rsidR="009113AF" w:rsidRDefault="009113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>.4</w:t>
      </w:r>
      <w:r w:rsidRPr="00DB208E">
        <w:rPr>
          <w:rFonts w:ascii="Arial" w:hAnsi="Arial" w:cs="Arial"/>
          <w:b/>
        </w:rPr>
        <w:t>.   Blokaj Uygulamasına Konu Sermaye Piyasası Araçları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6237"/>
      </w:tblGrid>
      <w:tr w:rsidR="009113AF" w:rsidRPr="00AE355B" w:rsidTr="0021558E">
        <w:tc>
          <w:tcPr>
            <w:tcW w:w="6232" w:type="dxa"/>
          </w:tcPr>
          <w:p w:rsidR="009113AF" w:rsidRPr="00AE355B" w:rsidRDefault="009113AF" w:rsidP="0021558E">
            <w:pPr>
              <w:rPr>
                <w:b/>
              </w:rPr>
            </w:pPr>
            <w:r w:rsidRPr="00AE355B">
              <w:rPr>
                <w:b/>
              </w:rPr>
              <w:lastRenderedPageBreak/>
              <w:t>MADDE/ MEVCUT İÇERİK</w:t>
            </w:r>
          </w:p>
        </w:tc>
        <w:tc>
          <w:tcPr>
            <w:tcW w:w="6237" w:type="dxa"/>
          </w:tcPr>
          <w:p w:rsidR="009113AF" w:rsidRPr="00AE355B" w:rsidRDefault="009113AF" w:rsidP="0021558E">
            <w:pPr>
              <w:rPr>
                <w:b/>
              </w:rPr>
            </w:pPr>
            <w:r w:rsidRPr="00AE355B">
              <w:rPr>
                <w:b/>
              </w:rPr>
              <w:t>GÜNCELLEME</w:t>
            </w:r>
            <w:r>
              <w:rPr>
                <w:b/>
              </w:rPr>
              <w:t>/YENİ</w:t>
            </w:r>
          </w:p>
        </w:tc>
      </w:tr>
      <w:tr w:rsidR="009113AF" w:rsidRPr="00337765" w:rsidTr="0021558E">
        <w:tc>
          <w:tcPr>
            <w:tcW w:w="6232" w:type="dxa"/>
          </w:tcPr>
          <w:p w:rsidR="009113AF" w:rsidRDefault="009113AF" w:rsidP="0021558E">
            <w:pPr>
              <w:pStyle w:val="PlainText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3AF" w:rsidRPr="00DB208E" w:rsidRDefault="009113AF" w:rsidP="00296638">
            <w:pPr>
              <w:jc w:val="both"/>
              <w:rPr>
                <w:rFonts w:ascii="Arial" w:hAnsi="Arial" w:cs="Arial"/>
              </w:rPr>
            </w:pPr>
            <w:r w:rsidRPr="00DB208E">
              <w:rPr>
                <w:rFonts w:ascii="Arial" w:hAnsi="Arial" w:cs="Arial"/>
              </w:rPr>
              <w:t xml:space="preserve">Sermaye Piyasası Kurulu tarafından yatırımcı </w:t>
            </w:r>
            <w:proofErr w:type="gramStart"/>
            <w:r w:rsidRPr="00DB208E">
              <w:rPr>
                <w:rFonts w:ascii="Arial" w:hAnsi="Arial" w:cs="Arial"/>
              </w:rPr>
              <w:t>blokajı</w:t>
            </w:r>
            <w:proofErr w:type="gramEnd"/>
            <w:r w:rsidRPr="00DB208E">
              <w:rPr>
                <w:rFonts w:ascii="Arial" w:hAnsi="Arial" w:cs="Arial"/>
              </w:rPr>
              <w:t xml:space="preserve"> uygulaması dışında tutulanlar hariç tüm sermaye piyasası araçları blokaja konu edilebilir. </w:t>
            </w:r>
          </w:p>
          <w:p w:rsidR="009113AF" w:rsidRPr="00DB208E" w:rsidRDefault="009113AF" w:rsidP="002966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B208E">
              <w:rPr>
                <w:rFonts w:ascii="Arial" w:hAnsi="Arial" w:cs="Arial"/>
              </w:rPr>
              <w:t xml:space="preserve">Yatırımcı </w:t>
            </w:r>
            <w:proofErr w:type="gramStart"/>
            <w:r w:rsidRPr="00DB208E">
              <w:rPr>
                <w:rFonts w:ascii="Arial" w:hAnsi="Arial" w:cs="Arial"/>
              </w:rPr>
              <w:t>blokajı</w:t>
            </w:r>
            <w:proofErr w:type="gramEnd"/>
            <w:r w:rsidRPr="00DB208E">
              <w:rPr>
                <w:rFonts w:ascii="Arial" w:hAnsi="Arial" w:cs="Arial"/>
              </w:rPr>
              <w:t xml:space="preserve"> uygulaması dışında tutulan menkul kıymetler;</w:t>
            </w:r>
          </w:p>
          <w:p w:rsidR="009113AF" w:rsidRPr="00DB208E" w:rsidRDefault="009113AF" w:rsidP="009113A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08E">
              <w:rPr>
                <w:rFonts w:ascii="Arial" w:hAnsi="Arial" w:cs="Arial"/>
                <w:sz w:val="22"/>
                <w:szCs w:val="22"/>
              </w:rPr>
              <w:t>Likit Fonlar</w:t>
            </w:r>
          </w:p>
          <w:p w:rsidR="009113AF" w:rsidRPr="00DB208E" w:rsidRDefault="009113AF" w:rsidP="009113A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08E">
              <w:rPr>
                <w:rFonts w:ascii="Arial" w:hAnsi="Arial" w:cs="Arial"/>
                <w:sz w:val="22"/>
                <w:szCs w:val="22"/>
              </w:rPr>
              <w:t>Kısa Vadeli Tahvil ve Bono Fonu</w:t>
            </w:r>
          </w:p>
          <w:p w:rsidR="009113AF" w:rsidRPr="00DB208E" w:rsidRDefault="009113AF" w:rsidP="009113A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08E">
              <w:rPr>
                <w:rFonts w:ascii="Arial" w:hAnsi="Arial" w:cs="Arial"/>
                <w:sz w:val="22"/>
                <w:szCs w:val="22"/>
              </w:rPr>
              <w:t>Para Piyasası Şemsiye Fonuna Bağlı Fonlar</w:t>
            </w:r>
          </w:p>
          <w:p w:rsidR="009113AF" w:rsidRPr="00AE355B" w:rsidRDefault="009113AF" w:rsidP="0021558E">
            <w:pPr>
              <w:pStyle w:val="PlainText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296638" w:rsidRDefault="00296638" w:rsidP="00296638">
            <w:pPr>
              <w:jc w:val="both"/>
              <w:rPr>
                <w:rFonts w:ascii="Arial" w:hAnsi="Arial" w:cs="Arial"/>
              </w:rPr>
            </w:pPr>
          </w:p>
          <w:p w:rsidR="00296638" w:rsidRPr="00DB208E" w:rsidRDefault="00296638" w:rsidP="00296638">
            <w:pPr>
              <w:jc w:val="both"/>
              <w:rPr>
                <w:rFonts w:ascii="Arial" w:hAnsi="Arial" w:cs="Arial"/>
              </w:rPr>
            </w:pPr>
            <w:r w:rsidRPr="00DB208E">
              <w:rPr>
                <w:rFonts w:ascii="Arial" w:hAnsi="Arial" w:cs="Arial"/>
              </w:rPr>
              <w:t xml:space="preserve">Sermaye Piyasası Kurulu tarafından yatırımcı </w:t>
            </w:r>
            <w:proofErr w:type="gramStart"/>
            <w:r w:rsidRPr="00DB208E">
              <w:rPr>
                <w:rFonts w:ascii="Arial" w:hAnsi="Arial" w:cs="Arial"/>
              </w:rPr>
              <w:t>blokajı</w:t>
            </w:r>
            <w:proofErr w:type="gramEnd"/>
            <w:r w:rsidRPr="00DB208E">
              <w:rPr>
                <w:rFonts w:ascii="Arial" w:hAnsi="Arial" w:cs="Arial"/>
              </w:rPr>
              <w:t xml:space="preserve"> uygulaması dışında tutulanlar hariç tüm sermaye piyasası araçları blokaja konu edilebilir. </w:t>
            </w:r>
          </w:p>
          <w:p w:rsidR="00296638" w:rsidRPr="00DB208E" w:rsidRDefault="00296638" w:rsidP="002966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B208E">
              <w:rPr>
                <w:rFonts w:ascii="Arial" w:hAnsi="Arial" w:cs="Arial"/>
              </w:rPr>
              <w:t xml:space="preserve">Yatırımcı </w:t>
            </w:r>
            <w:proofErr w:type="gramStart"/>
            <w:r w:rsidRPr="00DB208E">
              <w:rPr>
                <w:rFonts w:ascii="Arial" w:hAnsi="Arial" w:cs="Arial"/>
              </w:rPr>
              <w:t>blokajı</w:t>
            </w:r>
            <w:proofErr w:type="gramEnd"/>
            <w:r w:rsidRPr="00DB208E">
              <w:rPr>
                <w:rFonts w:ascii="Arial" w:hAnsi="Arial" w:cs="Arial"/>
              </w:rPr>
              <w:t xml:space="preserve"> uygulaması dışında tutulan menkul kıymetler;</w:t>
            </w:r>
          </w:p>
          <w:p w:rsidR="00296638" w:rsidRPr="00296638" w:rsidRDefault="00296638" w:rsidP="0029663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trike/>
                <w:color w:val="0070C0"/>
                <w:sz w:val="22"/>
                <w:szCs w:val="22"/>
              </w:rPr>
            </w:pPr>
            <w:r w:rsidRPr="00296638">
              <w:rPr>
                <w:rFonts w:ascii="Arial" w:hAnsi="Arial" w:cs="Arial"/>
                <w:strike/>
                <w:color w:val="0070C0"/>
                <w:sz w:val="22"/>
                <w:szCs w:val="22"/>
              </w:rPr>
              <w:t>Likit Fonlar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Para Piyasası Fonu</w:t>
            </w:r>
          </w:p>
          <w:p w:rsidR="00296638" w:rsidRPr="00DB208E" w:rsidRDefault="00296638" w:rsidP="0029663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08E">
              <w:rPr>
                <w:rFonts w:ascii="Arial" w:hAnsi="Arial" w:cs="Arial"/>
                <w:sz w:val="22"/>
                <w:szCs w:val="22"/>
              </w:rPr>
              <w:t>Kısa Vadeli Tahvil ve Bono Fonu</w:t>
            </w:r>
          </w:p>
          <w:p w:rsidR="00296638" w:rsidRPr="00296638" w:rsidRDefault="00296638" w:rsidP="0029663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trike/>
                <w:color w:val="0070C0"/>
                <w:sz w:val="22"/>
                <w:szCs w:val="22"/>
              </w:rPr>
            </w:pPr>
            <w:r w:rsidRPr="00296638">
              <w:rPr>
                <w:rFonts w:ascii="Arial" w:hAnsi="Arial" w:cs="Arial"/>
                <w:strike/>
                <w:color w:val="0070C0"/>
                <w:sz w:val="22"/>
                <w:szCs w:val="22"/>
              </w:rPr>
              <w:t>Para Piyasası Şemsiye Fonuna Bağlı Fonlar</w:t>
            </w:r>
          </w:p>
          <w:p w:rsidR="009113AF" w:rsidRPr="00337765" w:rsidRDefault="009113AF" w:rsidP="00296638">
            <w:pPr>
              <w:pStyle w:val="ListParagraph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13AF" w:rsidRDefault="009113AF"/>
    <w:sectPr w:rsidR="009113AF" w:rsidSect="00DC0D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DF3"/>
    <w:multiLevelType w:val="hybridMultilevel"/>
    <w:tmpl w:val="E5547436"/>
    <w:lvl w:ilvl="0" w:tplc="1CC4EF6E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CB44AC9"/>
    <w:multiLevelType w:val="hybridMultilevel"/>
    <w:tmpl w:val="86EA6060"/>
    <w:lvl w:ilvl="0" w:tplc="8F0C4932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18C65B0"/>
    <w:multiLevelType w:val="hybridMultilevel"/>
    <w:tmpl w:val="8564DC0C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42E8D"/>
    <w:multiLevelType w:val="hybridMultilevel"/>
    <w:tmpl w:val="50508C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5477B"/>
    <w:multiLevelType w:val="hybridMultilevel"/>
    <w:tmpl w:val="EBCC7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611BF"/>
    <w:multiLevelType w:val="hybridMultilevel"/>
    <w:tmpl w:val="13A63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66A1D"/>
    <w:multiLevelType w:val="hybridMultilevel"/>
    <w:tmpl w:val="56A2E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B8"/>
    <w:rsid w:val="00114BB6"/>
    <w:rsid w:val="00296638"/>
    <w:rsid w:val="00317784"/>
    <w:rsid w:val="009113AF"/>
    <w:rsid w:val="00D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4AF8-765D-4AA5-81EF-7A832FC5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B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autoRedefine/>
    <w:qFormat/>
    <w:rsid w:val="009113AF"/>
    <w:pPr>
      <w:keepNext/>
      <w:spacing w:before="240" w:after="60" w:line="240" w:lineRule="auto"/>
      <w:ind w:left="360"/>
      <w:outlineLvl w:val="2"/>
    </w:pPr>
    <w:rPr>
      <w:rFonts w:ascii="Arial" w:eastAsia="Times New Roman" w:hAnsi="Arial" w:cs="Arial"/>
      <w:b/>
      <w:szCs w:val="2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aliases w:val="Char"/>
    <w:basedOn w:val="Normal"/>
    <w:link w:val="PlainTextChar"/>
    <w:rsid w:val="00DC0D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PlainTextChar">
    <w:name w:val="Plain Text Char"/>
    <w:aliases w:val="Char Char"/>
    <w:basedOn w:val="DefaultParagraphFont"/>
    <w:link w:val="PlainText"/>
    <w:rsid w:val="00DC0DB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DC0D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rsid w:val="009113AF"/>
    <w:rPr>
      <w:rFonts w:ascii="Arial" w:eastAsia="Times New Roman" w:hAnsi="Arial" w:cs="Arial"/>
      <w:b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DA7E39-B6CB-4500-B7C0-3D360E3F8B73}"/>
</file>

<file path=customXml/itemProps2.xml><?xml version="1.0" encoding="utf-8"?>
<ds:datastoreItem xmlns:ds="http://schemas.openxmlformats.org/officeDocument/2006/customXml" ds:itemID="{53F18B7B-3AD8-48AD-A6F3-B50590E8F9CF}"/>
</file>

<file path=customXml/itemProps3.xml><?xml version="1.0" encoding="utf-8"?>
<ds:datastoreItem xmlns:ds="http://schemas.openxmlformats.org/officeDocument/2006/customXml" ds:itemID="{337180BC-658D-4F90-AF4E-CBC9769BA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Zübeyde Dindar</dc:creator>
  <cp:keywords/>
  <dc:description/>
  <cp:lastModifiedBy>Nermin Seda Erfındık</cp:lastModifiedBy>
  <cp:revision>2</cp:revision>
  <dcterms:created xsi:type="dcterms:W3CDTF">2020-05-15T13:44:00Z</dcterms:created>
  <dcterms:modified xsi:type="dcterms:W3CDTF">2020-05-15T13:44:00Z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