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C3" w:rsidRDefault="00C733C3" w:rsidP="00AE3A82">
      <w:pPr>
        <w:spacing w:after="0" w:line="360" w:lineRule="auto"/>
        <w:jc w:val="both"/>
        <w:outlineLvl w:val="3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tr-TR"/>
        </w:rPr>
      </w:pPr>
      <w:r w:rsidRPr="00D44F0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tr-TR"/>
        </w:rPr>
        <w:t>e-Vedo Raporlamalarına İlişkin Yapılan Geliştirmeler Hk.</w:t>
      </w:r>
    </w:p>
    <w:p w:rsidR="006A0406" w:rsidRDefault="006A0406" w:rsidP="00AE3A82">
      <w:pPr>
        <w:spacing w:after="0" w:line="360" w:lineRule="auto"/>
        <w:jc w:val="both"/>
        <w:outlineLvl w:val="3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tr-TR"/>
        </w:rPr>
      </w:pPr>
    </w:p>
    <w:p w:rsidR="006A0406" w:rsidRPr="0022618E" w:rsidRDefault="006A0406" w:rsidP="0022618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  <w:r w:rsidRPr="0022618E">
        <w:rPr>
          <w:rFonts w:ascii="Verdana" w:hAnsi="Verdana" w:cs="Segoe UI"/>
          <w:b/>
          <w:color w:val="FF0000"/>
          <w:spacing w:val="-4"/>
          <w:sz w:val="20"/>
          <w:szCs w:val="20"/>
        </w:rPr>
        <w:t>Yeni Piyasa Referans Oranının Eklenmesi</w:t>
      </w:r>
    </w:p>
    <w:p w:rsidR="006A0406" w:rsidRPr="00D44F0F" w:rsidRDefault="006A0406" w:rsidP="00AE3A82">
      <w:pPr>
        <w:spacing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</w:p>
    <w:p w:rsidR="006A0406" w:rsidRPr="003C3867" w:rsidRDefault="00852E72" w:rsidP="00AE3A82">
      <w:pPr>
        <w:spacing w:after="0" w:line="360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</w:pPr>
      <w:r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>floating</w:t>
      </w:r>
      <w:r w:rsidR="006A0406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>RateOfLeg1 (Değişken Oranlı 1</w:t>
      </w:r>
      <w:r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>’inci Bacak) ve floating</w:t>
      </w:r>
      <w:r w:rsidR="006A0406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 xml:space="preserve">RateOfLeg2 </w:t>
      </w:r>
      <w:r w:rsidR="003C386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 xml:space="preserve">(Değişken Oranlı 2’nci Bacak) alanlarına </w:t>
      </w:r>
      <w:r w:rsidR="003C3867" w:rsidRPr="003C3867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tr-TR"/>
        </w:rPr>
        <w:t>TREF = TLREF</w:t>
      </w:r>
      <w:r w:rsidR="003C3867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3C386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tr-TR"/>
        </w:rPr>
        <w:t>piyasa referans oranı eklenmiştir.</w:t>
      </w:r>
    </w:p>
    <w:p w:rsidR="006A0406" w:rsidRPr="00D44F0F" w:rsidRDefault="006A0406" w:rsidP="00AE3A82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  <w:lang w:eastAsia="tr-TR"/>
        </w:rPr>
      </w:pPr>
    </w:p>
    <w:p w:rsidR="00C733C3" w:rsidRPr="0022618E" w:rsidRDefault="00C733C3" w:rsidP="0022618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  <w:r w:rsidRPr="0022618E">
        <w:rPr>
          <w:rFonts w:ascii="Verdana" w:hAnsi="Verdana" w:cs="Segoe UI"/>
          <w:b/>
          <w:color w:val="FF0000"/>
          <w:spacing w:val="-4"/>
          <w:sz w:val="20"/>
          <w:szCs w:val="20"/>
        </w:rPr>
        <w:t>Kur Alanlarının Düzenlenmesi</w:t>
      </w:r>
    </w:p>
    <w:p w:rsidR="00C733C3" w:rsidRPr="00D44F0F" w:rsidRDefault="00C733C3" w:rsidP="00AE3A82">
      <w:pPr>
        <w:spacing w:after="0" w:line="360" w:lineRule="auto"/>
        <w:jc w:val="both"/>
        <w:rPr>
          <w:rFonts w:ascii="Verdana" w:hAnsi="Verdana" w:cs="Segoe UI"/>
          <w:color w:val="000000" w:themeColor="text1"/>
          <w:spacing w:val="-4"/>
          <w:sz w:val="20"/>
          <w:szCs w:val="20"/>
        </w:rPr>
      </w:pPr>
    </w:p>
    <w:p w:rsidR="00C733C3" w:rsidRPr="00D2395A" w:rsidRDefault="00C733C3" w:rsidP="00D2395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Varlık sınıfının Para Birimi olduğu sözleşmelerde Döviz Kuru 1 ve Forward Döviz Kuru alanlarının boş değer, sıfır(0) ve negatif değer giril</w:t>
      </w:r>
      <w:r w:rsidR="0022618E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e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memesi ile ilgili sistemde geliştirmeler yapılmıştır. </w:t>
      </w:r>
    </w:p>
    <w:p w:rsidR="001B3777" w:rsidRPr="00D2395A" w:rsidRDefault="00D44F0F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  <w:u w:val="single"/>
        </w:rPr>
      </w:pPr>
      <w:proofErr w:type="spellStart"/>
      <w:proofErr w:type="gramStart"/>
      <w:r w:rsidRPr="001B3777">
        <w:rPr>
          <w:rFonts w:ascii="Verdana" w:hAnsi="Verdana"/>
          <w:color w:val="1F4E79" w:themeColor="accent1" w:themeShade="80"/>
          <w:sz w:val="18"/>
          <w:szCs w:val="20"/>
          <w:u w:val="single"/>
        </w:rPr>
        <w:t>a</w:t>
      </w:r>
      <w:r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>ssetC</w:t>
      </w:r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>lass</w:t>
      </w:r>
      <w:proofErr w:type="spellEnd"/>
      <w:proofErr w:type="gramEnd"/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 xml:space="preserve"> (Varlık </w:t>
      </w:r>
      <w:proofErr w:type="spellStart"/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>Sınıfı</w:t>
      </w:r>
      <w:proofErr w:type="spellEnd"/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 xml:space="preserve">) </w:t>
      </w:r>
      <w:r w:rsidR="00C733C3" w:rsidRPr="001B3777">
        <w:rPr>
          <w:rFonts w:ascii="Verdana" w:hAnsi="Verdana"/>
          <w:b/>
          <w:color w:val="1F4E79" w:themeColor="accent1" w:themeShade="80"/>
          <w:sz w:val="20"/>
          <w:szCs w:val="20"/>
          <w:u w:val="single"/>
        </w:rPr>
        <w:t>=</w:t>
      </w:r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 xml:space="preserve"> "CU" (Para Birimi) </w:t>
      </w:r>
      <w:proofErr w:type="spellStart"/>
      <w:r w:rsidR="00C733C3" w:rsidRPr="001B3777">
        <w:rPr>
          <w:rFonts w:ascii="Verdana" w:hAnsi="Verdana"/>
          <w:sz w:val="20"/>
          <w:szCs w:val="20"/>
          <w:u w:val="single"/>
        </w:rPr>
        <w:t>durumunda</w:t>
      </w:r>
      <w:proofErr w:type="spellEnd"/>
      <w:r w:rsidR="00C733C3" w:rsidRPr="001B3777">
        <w:rPr>
          <w:rFonts w:ascii="Verdana" w:hAnsi="Verdana"/>
          <w:color w:val="1F4E79" w:themeColor="accent1" w:themeShade="80"/>
          <w:sz w:val="20"/>
          <w:szCs w:val="20"/>
          <w:u w:val="single"/>
        </w:rPr>
        <w:t>;</w:t>
      </w:r>
    </w:p>
    <w:p w:rsidR="00C733C3" w:rsidRPr="00D44F0F" w:rsidRDefault="00F27F94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r>
        <w:rPr>
          <w:rFonts w:ascii="Verdana" w:hAnsi="Verdana"/>
          <w:color w:val="1F4E79" w:themeColor="accent1" w:themeShade="80"/>
          <w:sz w:val="20"/>
          <w:szCs w:val="20"/>
        </w:rPr>
        <w:t xml:space="preserve">exchangeRate1 (Döviz 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Kuru</w:t>
      </w:r>
      <w:proofErr w:type="spellEnd"/>
      <w:r w:rsidR="005E32AB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r w:rsidR="00C733C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1) </w:t>
      </w:r>
      <w:r w:rsidR="00C733C3" w:rsidRPr="00D44F0F">
        <w:rPr>
          <w:rFonts w:ascii="Verdana" w:hAnsi="Verdana"/>
          <w:b/>
          <w:color w:val="1F4E79" w:themeColor="accent1" w:themeShade="80"/>
          <w:sz w:val="20"/>
          <w:szCs w:val="20"/>
        </w:rPr>
        <w:t>≠</w:t>
      </w:r>
      <w:r w:rsidR="00C733C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0,” “, -</w:t>
      </w:r>
    </w:p>
    <w:p w:rsidR="00C733C3" w:rsidRPr="00D2395A" w:rsidRDefault="008F5190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1F4E79" w:themeColor="accent1" w:themeShade="80"/>
          <w:sz w:val="20"/>
          <w:szCs w:val="20"/>
        </w:rPr>
        <w:t>forwardExchangeRate</w:t>
      </w:r>
      <w:proofErr w:type="spellEnd"/>
      <w:proofErr w:type="gramEnd"/>
      <w:r w:rsidR="005F69CB">
        <w:rPr>
          <w:rStyle w:val="FootnoteReference"/>
          <w:rFonts w:ascii="Verdana" w:hAnsi="Verdana"/>
          <w:b/>
          <w:color w:val="1F4E79" w:themeColor="accent1" w:themeShade="80"/>
          <w:sz w:val="22"/>
          <w:szCs w:val="20"/>
        </w:rPr>
        <w:footnoteReference w:id="1"/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r w:rsidR="00C733C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Forward Döviz </w:t>
      </w:r>
      <w:proofErr w:type="spellStart"/>
      <w:r w:rsidR="00C733C3" w:rsidRPr="00D44F0F">
        <w:rPr>
          <w:rFonts w:ascii="Verdana" w:hAnsi="Verdana"/>
          <w:color w:val="1F4E79" w:themeColor="accent1" w:themeShade="80"/>
          <w:sz w:val="20"/>
          <w:szCs w:val="20"/>
        </w:rPr>
        <w:t>Kuru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>)</w:t>
      </w:r>
      <w:r w:rsidR="00C733C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r w:rsidR="00C733C3" w:rsidRPr="00D44F0F">
        <w:rPr>
          <w:rFonts w:ascii="Verdana" w:hAnsi="Verdana"/>
          <w:b/>
          <w:color w:val="1F4E79" w:themeColor="accent1" w:themeShade="80"/>
          <w:sz w:val="20"/>
          <w:szCs w:val="20"/>
        </w:rPr>
        <w:t>≠</w:t>
      </w:r>
      <w:r w:rsidR="00290FFA">
        <w:rPr>
          <w:rFonts w:ascii="Verdana" w:hAnsi="Verdana"/>
          <w:color w:val="1F4E79" w:themeColor="accent1" w:themeShade="80"/>
          <w:sz w:val="20"/>
          <w:szCs w:val="20"/>
        </w:rPr>
        <w:t xml:space="preserve"> 0,” “,</w:t>
      </w:r>
      <w:r w:rsidR="003E7191">
        <w:rPr>
          <w:rFonts w:ascii="Verdana" w:hAnsi="Verdana"/>
          <w:color w:val="1F4E79" w:themeColor="accent1" w:themeShade="80"/>
          <w:sz w:val="20"/>
          <w:szCs w:val="20"/>
        </w:rPr>
        <w:t xml:space="preserve"> -</w:t>
      </w:r>
    </w:p>
    <w:p w:rsidR="00982B52" w:rsidRPr="00976150" w:rsidRDefault="009749AF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</w:pP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Açıklaması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:</w:t>
      </w:r>
      <w:r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r w:rsidRPr="009749A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Bu </w:t>
      </w:r>
      <w:proofErr w:type="gramStart"/>
      <w:r w:rsidRPr="009749A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alana</w:t>
      </w:r>
      <w:proofErr w:type="gramEnd"/>
      <w:r w:rsidRPr="009749A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yalnızca pozitif değer girilebilir.</w:t>
      </w:r>
    </w:p>
    <w:p w:rsidR="009749AF" w:rsidRPr="00D44F0F" w:rsidRDefault="009749AF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A61EC7" w:rsidRPr="0022618E" w:rsidRDefault="00A61EC7" w:rsidP="0022618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  <w:r w:rsidRPr="0022618E">
        <w:rPr>
          <w:rFonts w:ascii="Verdana" w:hAnsi="Verdana" w:cs="Segoe UI"/>
          <w:b/>
          <w:color w:val="FF0000"/>
          <w:spacing w:val="-4"/>
          <w:sz w:val="20"/>
          <w:szCs w:val="20"/>
        </w:rPr>
        <w:t>Sözleşme Tarafının Alıcı veya Satıcı Olma Durumundaki Düzenlemeler</w:t>
      </w:r>
    </w:p>
    <w:p w:rsidR="00A61EC7" w:rsidRPr="00D44F0F" w:rsidRDefault="00A61EC7" w:rsidP="00AE3A82">
      <w:pPr>
        <w:spacing w:after="0" w:line="36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</w:rPr>
      </w:pPr>
    </w:p>
    <w:p w:rsidR="00A61EC7" w:rsidRPr="00D44F0F" w:rsidRDefault="00A61EC7" w:rsidP="00AE3A82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Varlık Sınıfının Para Birimi olduğu durumlarda aşağıdaki alanların birbir</w:t>
      </w:r>
      <w:r w:rsidR="00540540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i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ne eşit olması ile ilgili sistemde geliştirmeler yapılmıştır.</w:t>
      </w:r>
    </w:p>
    <w:p w:rsidR="00724554" w:rsidRDefault="003F2B29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proofErr w:type="gramStart"/>
      <w:r w:rsidRPr="003F2B29">
        <w:rPr>
          <w:rFonts w:ascii="Verdana" w:hAnsi="Verdana"/>
          <w:b/>
          <w:color w:val="1F4E79" w:themeColor="accent1" w:themeShade="80"/>
          <w:sz w:val="20"/>
          <w:szCs w:val="20"/>
        </w:rPr>
        <w:t>contractType</w:t>
      </w:r>
      <w:proofErr w:type="spellEnd"/>
      <w:proofErr w:type="gram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Sözleşme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Türü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) = “FW – FU – SW” </w:t>
      </w:r>
      <w:r w:rsidRPr="003F2B29">
        <w:rPr>
          <w:rFonts w:ascii="Verdana" w:hAnsi="Verdana"/>
          <w:sz w:val="20"/>
          <w:szCs w:val="20"/>
        </w:rPr>
        <w:t>ve</w:t>
      </w:r>
    </w:p>
    <w:p w:rsidR="00701E24" w:rsidRDefault="00A61EC7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  <w:u w:val="single"/>
        </w:rPr>
      </w:pPr>
      <w:proofErr w:type="spellStart"/>
      <w:proofErr w:type="gramStart"/>
      <w:r w:rsidRPr="00701E24">
        <w:rPr>
          <w:rFonts w:ascii="Verdana" w:hAnsi="Verdana"/>
          <w:b/>
          <w:color w:val="1F4E79" w:themeColor="accent1" w:themeShade="80"/>
          <w:sz w:val="20"/>
          <w:szCs w:val="20"/>
          <w:u w:val="single"/>
        </w:rPr>
        <w:t>assetClass</w:t>
      </w:r>
      <w:proofErr w:type="spellEnd"/>
      <w:proofErr w:type="gramEnd"/>
      <w:r w:rsidRPr="00701E24">
        <w:rPr>
          <w:rFonts w:ascii="Verdana" w:hAnsi="Verdana"/>
          <w:color w:val="1F4E79" w:themeColor="accent1" w:themeShade="80"/>
          <w:sz w:val="20"/>
          <w:szCs w:val="20"/>
          <w:u w:val="single"/>
        </w:rPr>
        <w:t xml:space="preserve"> (Varlık </w:t>
      </w:r>
      <w:proofErr w:type="spellStart"/>
      <w:r w:rsidRPr="00701E24">
        <w:rPr>
          <w:rFonts w:ascii="Verdana" w:hAnsi="Verdana"/>
          <w:color w:val="1F4E79" w:themeColor="accent1" w:themeShade="80"/>
          <w:sz w:val="20"/>
          <w:szCs w:val="20"/>
          <w:u w:val="single"/>
        </w:rPr>
        <w:t>Sınıfı</w:t>
      </w:r>
      <w:proofErr w:type="spellEnd"/>
      <w:r w:rsidRPr="00701E24">
        <w:rPr>
          <w:rFonts w:ascii="Verdana" w:hAnsi="Verdana"/>
          <w:color w:val="1F4E79" w:themeColor="accent1" w:themeShade="80"/>
          <w:sz w:val="20"/>
          <w:szCs w:val="20"/>
          <w:u w:val="single"/>
        </w:rPr>
        <w:t xml:space="preserve">) = "CU" (Para Birimi) </w:t>
      </w:r>
      <w:proofErr w:type="spellStart"/>
      <w:r w:rsidRPr="00701E24">
        <w:rPr>
          <w:rFonts w:ascii="Verdana" w:hAnsi="Verdana"/>
          <w:sz w:val="20"/>
          <w:szCs w:val="20"/>
          <w:u w:val="single"/>
        </w:rPr>
        <w:t>olma</w:t>
      </w:r>
      <w:proofErr w:type="spellEnd"/>
      <w:r w:rsidRPr="00701E24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701E24">
        <w:rPr>
          <w:rFonts w:ascii="Verdana" w:hAnsi="Verdana"/>
          <w:sz w:val="20"/>
          <w:szCs w:val="20"/>
          <w:u w:val="single"/>
        </w:rPr>
        <w:t>durumunda</w:t>
      </w:r>
      <w:proofErr w:type="spellEnd"/>
      <w:r w:rsidRPr="00701E24">
        <w:rPr>
          <w:rFonts w:ascii="Verdana" w:hAnsi="Verdana"/>
          <w:color w:val="1F4E79" w:themeColor="accent1" w:themeShade="80"/>
          <w:sz w:val="20"/>
          <w:szCs w:val="20"/>
          <w:u w:val="single"/>
        </w:rPr>
        <w:t>;</w:t>
      </w:r>
    </w:p>
    <w:p w:rsidR="003F2B29" w:rsidRPr="00D2395A" w:rsidRDefault="003F2B29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  <w:u w:val="single"/>
        </w:rPr>
      </w:pPr>
    </w:p>
    <w:p w:rsidR="00A61EC7" w:rsidRPr="00D44F0F" w:rsidRDefault="00A61EC7" w:rsidP="00CD1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t>counterpartySide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Sözleşme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Tarafının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Satıcı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Olma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Durumu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>) (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Taraf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)= S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ise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>;</w:t>
      </w:r>
    </w:p>
    <w:p w:rsidR="00D44F0F" w:rsidRPr="00D44F0F" w:rsidRDefault="00A61EC7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proofErr w:type="gramStart"/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t>currencyOfOriginalNotional</w:t>
      </w:r>
      <w:proofErr w:type="spellEnd"/>
      <w:proofErr w:type="gramEnd"/>
      <w:r w:rsidR="008B3CF4"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 w:rsidR="008B3CF4">
        <w:rPr>
          <w:rFonts w:ascii="Verdana" w:hAnsi="Verdana"/>
          <w:color w:val="1F4E79" w:themeColor="accent1" w:themeShade="80"/>
          <w:sz w:val="20"/>
          <w:szCs w:val="20"/>
        </w:rPr>
        <w:t>Sözleşmenin</w:t>
      </w:r>
      <w:proofErr w:type="spellEnd"/>
      <w:r w:rsidR="008B3CF4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="008B3CF4">
        <w:rPr>
          <w:rFonts w:ascii="Verdana" w:hAnsi="Verdana"/>
          <w:color w:val="1F4E79" w:themeColor="accent1" w:themeShade="80"/>
          <w:sz w:val="20"/>
          <w:szCs w:val="20"/>
        </w:rPr>
        <w:t>Gerçek</w:t>
      </w:r>
      <w:proofErr w:type="spellEnd"/>
      <w:r w:rsidR="008B3CF4">
        <w:rPr>
          <w:rFonts w:ascii="Verdana" w:hAnsi="Verdana"/>
          <w:color w:val="1F4E79" w:themeColor="accent1" w:themeShade="80"/>
          <w:sz w:val="20"/>
          <w:szCs w:val="20"/>
        </w:rPr>
        <w:t xml:space="preserve"> P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ara Birimi) = </w:t>
      </w:r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t>exchangeRateBasis1</w:t>
      </w:r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(Para Birimi </w:t>
      </w:r>
      <w:proofErr w:type="spellStart"/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1)</w:t>
      </w:r>
    </w:p>
    <w:p w:rsidR="00D24624" w:rsidRPr="00D44F0F" w:rsidRDefault="00540540" w:rsidP="00AE3A82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 Açıklaması:</w:t>
      </w:r>
      <w:r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r w:rsidR="00D24624" w:rsidRPr="00D44F0F">
        <w:rPr>
          <w:rFonts w:ascii="Verdana" w:hAnsi="Verdana" w:cs="Segoe UI"/>
          <w:color w:val="000000" w:themeColor="text1"/>
          <w:sz w:val="20"/>
          <w:szCs w:val="20"/>
        </w:rPr>
        <w:t>Tarafın satıcı olması durumunda yükümlü olunan para cinsini gösteren "Para Birimi Çifti 1" alanı ile "Sözleşmenin Gerçek Para Birimi" alanı aynı olmalıdır.</w:t>
      </w:r>
    </w:p>
    <w:p w:rsidR="00540540" w:rsidRPr="00D44F0F" w:rsidRDefault="00A61EC7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proofErr w:type="gramStart"/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t>originalNotional</w:t>
      </w:r>
      <w:proofErr w:type="spellEnd"/>
      <w:proofErr w:type="gramEnd"/>
      <w:r w:rsidR="0009320D"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 w:rsidR="0009320D">
        <w:rPr>
          <w:rFonts w:ascii="Verdana" w:hAnsi="Verdana"/>
          <w:color w:val="1F4E79" w:themeColor="accent1" w:themeShade="80"/>
          <w:sz w:val="20"/>
          <w:szCs w:val="20"/>
        </w:rPr>
        <w:t>Sözleşmenin</w:t>
      </w:r>
      <w:proofErr w:type="spellEnd"/>
      <w:r w:rsidR="0009320D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="0009320D">
        <w:rPr>
          <w:rFonts w:ascii="Verdana" w:hAnsi="Verdana"/>
          <w:color w:val="1F4E79" w:themeColor="accent1" w:themeShade="80"/>
          <w:sz w:val="20"/>
          <w:szCs w:val="20"/>
        </w:rPr>
        <w:t>Gerçek</w:t>
      </w:r>
      <w:proofErr w:type="spellEnd"/>
      <w:r w:rsidR="0009320D">
        <w:rPr>
          <w:rFonts w:ascii="Verdana" w:hAnsi="Verdana"/>
          <w:color w:val="1F4E79" w:themeColor="accent1" w:themeShade="80"/>
          <w:sz w:val="20"/>
          <w:szCs w:val="20"/>
        </w:rPr>
        <w:t xml:space="preserve"> Para </w:t>
      </w:r>
      <w:proofErr w:type="spellStart"/>
      <w:r w:rsidR="0009320D">
        <w:rPr>
          <w:rFonts w:ascii="Verdana" w:hAnsi="Verdana"/>
          <w:color w:val="1F4E79" w:themeColor="accent1" w:themeShade="80"/>
          <w:sz w:val="20"/>
          <w:szCs w:val="20"/>
        </w:rPr>
        <w:t>T</w:t>
      </w:r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>utarı</w:t>
      </w:r>
      <w:proofErr w:type="spellEnd"/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>)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= </w:t>
      </w:r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t>notional</w:t>
      </w:r>
      <w:r w:rsidR="006F5013"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(Nominal) </w:t>
      </w:r>
      <w:proofErr w:type="spellStart"/>
      <w:r w:rsidR="006F5013" w:rsidRPr="004B125F">
        <w:rPr>
          <w:rFonts w:ascii="Verdana" w:hAnsi="Verdana"/>
          <w:sz w:val="20"/>
          <w:szCs w:val="20"/>
        </w:rPr>
        <w:t>olmalıdır</w:t>
      </w:r>
      <w:proofErr w:type="spellEnd"/>
      <w:r w:rsidR="006F5013" w:rsidRPr="004B125F">
        <w:rPr>
          <w:rFonts w:ascii="Verdana" w:hAnsi="Verdana"/>
          <w:sz w:val="20"/>
          <w:szCs w:val="20"/>
        </w:rPr>
        <w:t>.</w:t>
      </w:r>
    </w:p>
    <w:p w:rsidR="006F5013" w:rsidRDefault="00540540" w:rsidP="00AE3A82">
      <w:pPr>
        <w:spacing w:line="360" w:lineRule="auto"/>
        <w:jc w:val="both"/>
        <w:rPr>
          <w:rFonts w:ascii="Verdana" w:hAnsi="Verdana" w:cs="Segoe UI"/>
          <w:color w:val="000000" w:themeColor="text1"/>
          <w:sz w:val="20"/>
          <w:szCs w:val="20"/>
        </w:rPr>
      </w:pPr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 Açıklaması:</w:t>
      </w:r>
      <w:r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Tarafın satıcı olması durumunda</w:t>
      </w:r>
      <w:r w:rsidR="00D24624" w:rsidRPr="00D44F0F">
        <w:rPr>
          <w:rFonts w:ascii="Verdana" w:hAnsi="Verdana" w:cs="Segoe UI"/>
          <w:color w:val="000000" w:themeColor="text1"/>
          <w:sz w:val="20"/>
          <w:szCs w:val="20"/>
        </w:rPr>
        <w:t> 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yükümlü olunan para tutarını gösteren</w:t>
      </w:r>
      <w:r w:rsidR="00CC3FEF" w:rsidRPr="00D44F0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"Sözle</w:t>
      </w:r>
      <w:r w:rsidR="00D24624" w:rsidRPr="00D44F0F">
        <w:rPr>
          <w:rFonts w:ascii="Verdana" w:hAnsi="Verdana" w:cs="Cambria"/>
          <w:color w:val="000000" w:themeColor="text1"/>
          <w:sz w:val="20"/>
          <w:szCs w:val="20"/>
        </w:rPr>
        <w:t>ş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menin Ger</w:t>
      </w:r>
      <w:r w:rsidR="00D24624" w:rsidRPr="00D44F0F">
        <w:rPr>
          <w:rFonts w:ascii="Verdana" w:hAnsi="Verdana" w:cs="MV Boli"/>
          <w:color w:val="000000" w:themeColor="text1"/>
          <w:sz w:val="20"/>
          <w:szCs w:val="20"/>
        </w:rPr>
        <w:t>ç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ek Para Tutarı"</w:t>
      </w:r>
      <w:r w:rsidR="00D24624" w:rsidRPr="00D44F0F">
        <w:rPr>
          <w:rFonts w:ascii="Verdana" w:hAnsi="Verdana" w:cs="Segoe UI"/>
          <w:color w:val="000000" w:themeColor="text1"/>
          <w:sz w:val="20"/>
          <w:szCs w:val="20"/>
        </w:rPr>
        <w:t xml:space="preserve"> alanı ile "Nominal" alanı aynı olmalıdır.</w:t>
      </w:r>
    </w:p>
    <w:p w:rsidR="00D2395A" w:rsidRPr="00D44F0F" w:rsidRDefault="00D2395A" w:rsidP="00AE3A82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</w:p>
    <w:p w:rsidR="006F5013" w:rsidRPr="00D44F0F" w:rsidRDefault="006F5013" w:rsidP="00CD1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r w:rsidRPr="0009320D">
        <w:rPr>
          <w:rFonts w:ascii="Verdana" w:hAnsi="Verdana"/>
          <w:b/>
          <w:color w:val="1F4E79" w:themeColor="accent1" w:themeShade="80"/>
          <w:sz w:val="20"/>
          <w:szCs w:val="20"/>
        </w:rPr>
        <w:lastRenderedPageBreak/>
        <w:t>counterpartySide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Sözleşme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Tarafının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Alıcı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Olma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Durumu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>) (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Taraf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) = B </w:t>
      </w:r>
      <w:proofErr w:type="spellStart"/>
      <w:r w:rsidRPr="00D44F0F">
        <w:rPr>
          <w:rFonts w:ascii="Verdana" w:hAnsi="Verdana"/>
          <w:color w:val="1F4E79" w:themeColor="accent1" w:themeShade="80"/>
          <w:sz w:val="20"/>
          <w:szCs w:val="20"/>
        </w:rPr>
        <w:t>ise</w:t>
      </w:r>
      <w:proofErr w:type="spellEnd"/>
      <w:r w:rsidRPr="00D44F0F">
        <w:rPr>
          <w:rFonts w:ascii="Verdana" w:hAnsi="Verdana"/>
          <w:color w:val="1F4E79" w:themeColor="accent1" w:themeShade="80"/>
          <w:sz w:val="20"/>
          <w:szCs w:val="20"/>
        </w:rPr>
        <w:t>;</w:t>
      </w:r>
    </w:p>
    <w:p w:rsidR="00292737" w:rsidRPr="00D44F0F" w:rsidRDefault="006F5013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proofErr w:type="spellStart"/>
      <w:proofErr w:type="gramStart"/>
      <w:r w:rsidRPr="004150A0">
        <w:rPr>
          <w:rFonts w:ascii="Verdana" w:hAnsi="Verdana"/>
          <w:b/>
          <w:color w:val="1F4E79" w:themeColor="accent1" w:themeShade="80"/>
          <w:sz w:val="20"/>
          <w:szCs w:val="20"/>
        </w:rPr>
        <w:t>currencyOfOriginalNotional</w:t>
      </w:r>
      <w:proofErr w:type="spellEnd"/>
      <w:proofErr w:type="gramEnd"/>
      <w:r w:rsidR="004150A0">
        <w:rPr>
          <w:rFonts w:ascii="Verdana" w:hAnsi="Verdana"/>
          <w:color w:val="1F4E79" w:themeColor="accent1" w:themeShade="80"/>
          <w:sz w:val="20"/>
          <w:szCs w:val="20"/>
        </w:rPr>
        <w:t xml:space="preserve"> (</w:t>
      </w:r>
      <w:proofErr w:type="spellStart"/>
      <w:r w:rsidR="004150A0">
        <w:rPr>
          <w:rFonts w:ascii="Verdana" w:hAnsi="Verdana"/>
          <w:color w:val="1F4E79" w:themeColor="accent1" w:themeShade="80"/>
          <w:sz w:val="20"/>
          <w:szCs w:val="20"/>
        </w:rPr>
        <w:t>Sözleşmenin</w:t>
      </w:r>
      <w:proofErr w:type="spellEnd"/>
      <w:r w:rsidR="004150A0"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proofErr w:type="spellStart"/>
      <w:r w:rsidR="004150A0">
        <w:rPr>
          <w:rFonts w:ascii="Verdana" w:hAnsi="Verdana"/>
          <w:color w:val="1F4E79" w:themeColor="accent1" w:themeShade="80"/>
          <w:sz w:val="20"/>
          <w:szCs w:val="20"/>
        </w:rPr>
        <w:t>Gerçek</w:t>
      </w:r>
      <w:proofErr w:type="spellEnd"/>
      <w:r w:rsidR="004150A0">
        <w:rPr>
          <w:rFonts w:ascii="Verdana" w:hAnsi="Verdana"/>
          <w:color w:val="1F4E79" w:themeColor="accent1" w:themeShade="80"/>
          <w:sz w:val="20"/>
          <w:szCs w:val="20"/>
        </w:rPr>
        <w:t xml:space="preserve"> P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ara Birimi) </w:t>
      </w:r>
      <w:r w:rsidRPr="004150A0">
        <w:rPr>
          <w:rFonts w:ascii="Verdana" w:hAnsi="Verdana"/>
          <w:b/>
          <w:color w:val="1F4E79" w:themeColor="accent1" w:themeShade="80"/>
          <w:sz w:val="20"/>
          <w:szCs w:val="20"/>
        </w:rPr>
        <w:t>=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> </w:t>
      </w:r>
      <w:r w:rsidRPr="004150A0">
        <w:rPr>
          <w:rFonts w:ascii="Verdana" w:hAnsi="Verdana"/>
          <w:b/>
          <w:color w:val="1F4E79" w:themeColor="accent1" w:themeShade="80"/>
          <w:sz w:val="20"/>
          <w:szCs w:val="20"/>
        </w:rPr>
        <w:t>exchangeRateBasis2</w:t>
      </w:r>
      <w:r w:rsidR="007C342E">
        <w:rPr>
          <w:rFonts w:ascii="Verdana" w:hAnsi="Verdana"/>
          <w:color w:val="1F4E79" w:themeColor="accent1" w:themeShade="80"/>
          <w:sz w:val="20"/>
          <w:szCs w:val="20"/>
        </w:rPr>
        <w:t xml:space="preserve"> (Para Birimi </w:t>
      </w:r>
      <w:proofErr w:type="spellStart"/>
      <w:r w:rsidR="007C342E"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 w:rsidR="007C342E">
        <w:rPr>
          <w:rFonts w:ascii="Verdana" w:hAnsi="Verdana"/>
          <w:color w:val="1F4E79" w:themeColor="accent1" w:themeShade="80"/>
          <w:sz w:val="20"/>
          <w:szCs w:val="20"/>
        </w:rPr>
        <w:t xml:space="preserve"> 2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>)</w:t>
      </w:r>
    </w:p>
    <w:p w:rsidR="001B313B" w:rsidRDefault="00292737" w:rsidP="00AE3A82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 Açıklaması:</w:t>
      </w:r>
      <w:r w:rsidR="0040363A"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r w:rsidR="00D24624" w:rsidRPr="00D44F0F">
        <w:rPr>
          <w:rFonts w:ascii="Verdana" w:hAnsi="Verdana" w:cs="Segoe UI"/>
          <w:color w:val="000000" w:themeColor="text1"/>
          <w:sz w:val="20"/>
          <w:szCs w:val="20"/>
        </w:rPr>
        <w:t>Tarafın alıcı olması durumunda yükümlü olunan para cinsini gösteren "Para Birimi Çifti 2" alanı ile "Sözleşmenin Gerçek Para Birimi" alanı aynı olmalıdır.</w:t>
      </w:r>
      <w:r w:rsidR="006F5013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br/>
      </w:r>
      <w:r w:rsidR="006F5013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br/>
      </w:r>
      <w:proofErr w:type="spellStart"/>
      <w:proofErr w:type="gramStart"/>
      <w:r w:rsidR="006F5013" w:rsidRPr="004150A0">
        <w:rPr>
          <w:rFonts w:ascii="Verdana" w:eastAsia="Times New Roman" w:hAnsi="Verdana" w:cs="Times New Roman"/>
          <w:b/>
          <w:color w:val="1F4E79" w:themeColor="accent1" w:themeShade="80"/>
          <w:sz w:val="20"/>
          <w:szCs w:val="20"/>
          <w:lang w:val="en-US"/>
        </w:rPr>
        <w:t>originalNotional</w:t>
      </w:r>
      <w:proofErr w:type="spellEnd"/>
      <w:proofErr w:type="gramEnd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 (</w:t>
      </w:r>
      <w:proofErr w:type="spellStart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>Sözleşmenin</w:t>
      </w:r>
      <w:proofErr w:type="spellEnd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 </w:t>
      </w:r>
      <w:proofErr w:type="spellStart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>Gerçek</w:t>
      </w:r>
      <w:proofErr w:type="spellEnd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 Para </w:t>
      </w:r>
      <w:proofErr w:type="spellStart"/>
      <w:r w:rsidR="007E3617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>T</w:t>
      </w:r>
      <w:r w:rsidR="006F5013" w:rsidRPr="00D44F0F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>utarı</w:t>
      </w:r>
      <w:proofErr w:type="spellEnd"/>
      <w:r w:rsidR="006F5013" w:rsidRPr="00D44F0F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) </w:t>
      </w:r>
      <w:r w:rsidR="006F5013" w:rsidRPr="004150A0">
        <w:rPr>
          <w:rFonts w:ascii="Verdana" w:eastAsia="Times New Roman" w:hAnsi="Verdana" w:cs="Times New Roman"/>
          <w:b/>
          <w:color w:val="1F4E79" w:themeColor="accent1" w:themeShade="80"/>
          <w:sz w:val="20"/>
          <w:szCs w:val="20"/>
          <w:lang w:val="en-US"/>
        </w:rPr>
        <w:t>≠</w:t>
      </w:r>
      <w:r w:rsidR="006F5013" w:rsidRPr="00D44F0F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 </w:t>
      </w:r>
      <w:r w:rsidR="006F5013" w:rsidRPr="004150A0">
        <w:rPr>
          <w:rFonts w:ascii="Verdana" w:eastAsia="Times New Roman" w:hAnsi="Verdana" w:cs="Times New Roman"/>
          <w:b/>
          <w:color w:val="1F4E79" w:themeColor="accent1" w:themeShade="80"/>
          <w:sz w:val="20"/>
          <w:szCs w:val="20"/>
          <w:lang w:val="en-US"/>
        </w:rPr>
        <w:t>notional</w:t>
      </w:r>
      <w:r w:rsidR="006F5013" w:rsidRPr="00D44F0F">
        <w:rPr>
          <w:rFonts w:ascii="Verdana" w:eastAsia="Times New Roman" w:hAnsi="Verdana" w:cs="Times New Roman"/>
          <w:color w:val="1F4E79" w:themeColor="accent1" w:themeShade="80"/>
          <w:sz w:val="20"/>
          <w:szCs w:val="20"/>
          <w:lang w:val="en-US"/>
        </w:rPr>
        <w:t xml:space="preserve"> (Nominal)</w:t>
      </w:r>
    </w:p>
    <w:p w:rsidR="0022618E" w:rsidRPr="009249C7" w:rsidRDefault="00292737" w:rsidP="00AE3A82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 Açıklaması:</w:t>
      </w:r>
      <w:r w:rsidR="0040363A"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Tarafın alıcı olması durumunda yükümlü olunan para tutarını gösteren "Sözle</w:t>
      </w:r>
      <w:r w:rsidR="00D24624" w:rsidRPr="00D44F0F">
        <w:rPr>
          <w:rFonts w:ascii="Verdana" w:hAnsi="Verdana" w:cs="Cambria"/>
          <w:color w:val="000000" w:themeColor="text1"/>
          <w:sz w:val="20"/>
          <w:szCs w:val="20"/>
        </w:rPr>
        <w:t>ş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menin Ger</w:t>
      </w:r>
      <w:r w:rsidR="00D24624" w:rsidRPr="00D44F0F">
        <w:rPr>
          <w:rFonts w:ascii="Verdana" w:hAnsi="Verdana" w:cs="MV Boli"/>
          <w:color w:val="000000" w:themeColor="text1"/>
          <w:sz w:val="20"/>
          <w:szCs w:val="20"/>
        </w:rPr>
        <w:t>ç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ek Para Tutar</w:t>
      </w:r>
      <w:r w:rsidR="00D24624" w:rsidRPr="00D44F0F">
        <w:rPr>
          <w:rFonts w:ascii="Verdana" w:hAnsi="Verdana" w:cs="MV Boli"/>
          <w:color w:val="000000" w:themeColor="text1"/>
          <w:sz w:val="20"/>
          <w:szCs w:val="20"/>
        </w:rPr>
        <w:t>ı</w:t>
      </w:r>
      <w:r w:rsidR="00D24624" w:rsidRPr="00D44F0F">
        <w:rPr>
          <w:rFonts w:ascii="Verdana" w:hAnsi="Verdana"/>
          <w:color w:val="000000" w:themeColor="text1"/>
          <w:sz w:val="20"/>
          <w:szCs w:val="20"/>
        </w:rPr>
        <w:t>" alanı ile "Nominal" alanı aynı olmamalıdır.</w:t>
      </w:r>
    </w:p>
    <w:p w:rsidR="006F5013" w:rsidRDefault="0022618E" w:rsidP="0022618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  <w:r w:rsidRPr="0022618E">
        <w:rPr>
          <w:rFonts w:ascii="Verdana" w:hAnsi="Verdana" w:cs="Segoe UI"/>
          <w:b/>
          <w:color w:val="FF0000"/>
          <w:spacing w:val="-4"/>
          <w:sz w:val="20"/>
          <w:szCs w:val="20"/>
        </w:rPr>
        <w:t>Para Birimi Çiftleri ile İlgili Düzenlemeler</w:t>
      </w:r>
    </w:p>
    <w:p w:rsidR="0022618E" w:rsidRPr="0022618E" w:rsidRDefault="0022618E" w:rsidP="0022618E">
      <w:pPr>
        <w:spacing w:after="0" w:line="360" w:lineRule="auto"/>
        <w:ind w:left="360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</w:p>
    <w:p w:rsidR="00354E96" w:rsidRPr="00D44F0F" w:rsidRDefault="00354E96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Asset Class (Varlık </w:t>
      </w:r>
      <w:proofErr w:type="spellStart"/>
      <w:r w:rsidRPr="00D44F0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  <w:t>Sınıfı</w:t>
      </w:r>
      <w:proofErr w:type="spellEnd"/>
      <w:r w:rsidRPr="00D44F0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) = "CU" (Para Birimi) </w:t>
      </w:r>
      <w:proofErr w:type="spellStart"/>
      <w:r w:rsidRPr="00D44F0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  <w:t>olduğunda</w:t>
      </w:r>
      <w:proofErr w:type="spellEnd"/>
      <w:r w:rsidRPr="00D44F0F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; </w:t>
      </w:r>
    </w:p>
    <w:p w:rsidR="00354E96" w:rsidRPr="00D44F0F" w:rsidRDefault="00354E96" w:rsidP="00AE3A82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</w:p>
    <w:p w:rsidR="00EA25FD" w:rsidRPr="00AE3A82" w:rsidRDefault="00CC3FEF" w:rsidP="00AE3A82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EA0DC1">
        <w:rPr>
          <w:rFonts w:ascii="Verdana" w:eastAsia="Times New Roman" w:hAnsi="Verdana" w:cs="Times New Roman"/>
          <w:b/>
          <w:color w:val="000000" w:themeColor="text1"/>
          <w:sz w:val="20"/>
          <w:szCs w:val="20"/>
          <w:bdr w:val="none" w:sz="0" w:space="0" w:color="auto" w:frame="1"/>
          <w:lang w:eastAsia="tr-TR"/>
        </w:rPr>
        <w:t>exchangeRateBasis1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(Para Birimi</w:t>
      </w:r>
      <w:r w:rsidR="00C96759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Çifti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1) ve </w:t>
      </w:r>
      <w:r w:rsidRPr="00EA0DC1">
        <w:rPr>
          <w:rFonts w:ascii="Verdana" w:eastAsia="Times New Roman" w:hAnsi="Verdana" w:cs="Times New Roman"/>
          <w:b/>
          <w:color w:val="000000" w:themeColor="text1"/>
          <w:sz w:val="20"/>
          <w:szCs w:val="20"/>
          <w:bdr w:val="none" w:sz="0" w:space="0" w:color="auto" w:frame="1"/>
          <w:lang w:eastAsia="tr-TR"/>
        </w:rPr>
        <w:t>exchangeRateBasis2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(Para Birimi </w:t>
      </w:r>
      <w:r w:rsidR="00C96759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Çifti 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2) alanlarına para birimler</w:t>
      </w:r>
      <w:r w:rsidR="00354E96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ini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 alfabetik olarak </w:t>
      </w:r>
      <w:r w:rsidR="00354E96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girilmelidir.</w:t>
      </w:r>
    </w:p>
    <w:p w:rsidR="008445CC" w:rsidRPr="008445CC" w:rsidRDefault="008445CC" w:rsidP="00AE3A82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</w:pPr>
      <w:r w:rsidRPr="008445CC">
        <w:rPr>
          <w:rFonts w:ascii="Verdana" w:eastAsiaTheme="minorHAnsi" w:hAnsi="Verdana" w:cs="Segoe UI"/>
          <w:b/>
          <w:color w:val="000000" w:themeColor="text1"/>
          <w:sz w:val="20"/>
          <w:szCs w:val="20"/>
          <w:lang w:eastAsia="en-US"/>
        </w:rPr>
        <w:t>Örnek:</w:t>
      </w:r>
      <w:r w:rsidR="00B7105E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> 10.07</w:t>
      </w:r>
      <w:r w:rsidRPr="008445CC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 xml:space="preserve">.2019 tarihinde yapılan EUR/USD Forward işleminde raporlayan taraf 1.130.000 USD satmakta ve 1.000.000 EUR almaktadır. Buna göre </w:t>
      </w:r>
      <w:r w:rsidR="00F9496A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>para birimi alanları</w:t>
      </w:r>
      <w:r w:rsidRPr="008445CC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 xml:space="preserve"> aşağıdaki gibi doldurulmalıdır.</w:t>
      </w:r>
    </w:p>
    <w:p w:rsidR="008445CC" w:rsidRPr="008445CC" w:rsidRDefault="008445CC" w:rsidP="00AE3A82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</w:pPr>
      <w:r w:rsidRPr="008445CC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>Para Birimi-I: EUR (EUR İngilizce alfabetik olarak USD’den önce gelmektedir.)</w:t>
      </w:r>
    </w:p>
    <w:p w:rsidR="002601B6" w:rsidRPr="00AE3A82" w:rsidRDefault="008445CC" w:rsidP="00AE3A82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</w:pPr>
      <w:r w:rsidRPr="008445CC">
        <w:rPr>
          <w:rFonts w:ascii="Verdana" w:eastAsiaTheme="minorHAnsi" w:hAnsi="Verdana" w:cs="Segoe UI"/>
          <w:color w:val="000000" w:themeColor="text1"/>
          <w:sz w:val="20"/>
          <w:szCs w:val="20"/>
          <w:lang w:eastAsia="en-US"/>
        </w:rPr>
        <w:t>Para Birimi-II: USD (USD İngilizce alfabetik olarak EUR’dan sonra gelmektedir.)</w:t>
      </w:r>
    </w:p>
    <w:p w:rsidR="00B854BE" w:rsidRDefault="00B854BE" w:rsidP="00AE3A82">
      <w:pPr>
        <w:spacing w:after="0" w:line="360" w:lineRule="auto"/>
        <w:jc w:val="both"/>
        <w:rPr>
          <w:rFonts w:ascii="Verdana" w:hAnsi="Verdana" w:cs="Segoe UI"/>
          <w:color w:val="000000" w:themeColor="text1"/>
          <w:sz w:val="20"/>
          <w:szCs w:val="20"/>
        </w:rPr>
      </w:pPr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 Açıklaması:</w:t>
      </w:r>
      <w:r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r w:rsidRPr="00D44F0F">
        <w:rPr>
          <w:rFonts w:ascii="Verdana" w:hAnsi="Verdana" w:cs="Segoe UI"/>
          <w:color w:val="000000" w:themeColor="text1"/>
          <w:sz w:val="20"/>
          <w:szCs w:val="20"/>
        </w:rPr>
        <w:t>Para Birimi 1 ve Para Birimi 2 alanları</w:t>
      </w:r>
      <w:r>
        <w:rPr>
          <w:rFonts w:ascii="Verdana" w:hAnsi="Verdana" w:cs="Segoe UI"/>
          <w:color w:val="000000" w:themeColor="text1"/>
          <w:sz w:val="20"/>
          <w:szCs w:val="20"/>
        </w:rPr>
        <w:t xml:space="preserve"> alfabetik olarak girilmelidir.</w:t>
      </w:r>
    </w:p>
    <w:p w:rsidR="00BF3B45" w:rsidRDefault="00BF3B45" w:rsidP="00AE3A82">
      <w:pPr>
        <w:spacing w:after="0" w:line="360" w:lineRule="auto"/>
        <w:jc w:val="both"/>
        <w:rPr>
          <w:rFonts w:ascii="Verdana" w:hAnsi="Verdana" w:cs="Segoe UI"/>
          <w:color w:val="000000" w:themeColor="text1"/>
          <w:sz w:val="20"/>
          <w:szCs w:val="20"/>
        </w:rPr>
      </w:pPr>
    </w:p>
    <w:p w:rsidR="00BF3B45" w:rsidRPr="00AE3A82" w:rsidRDefault="00B854BE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5B68EE">
        <w:rPr>
          <w:rFonts w:ascii="Verdana" w:eastAsia="Times New Roman" w:hAnsi="Verdana" w:cs="Times New Roman"/>
          <w:b/>
          <w:color w:val="000000" w:themeColor="text1"/>
          <w:sz w:val="20"/>
          <w:szCs w:val="20"/>
          <w:bdr w:val="none" w:sz="0" w:space="0" w:color="auto" w:frame="1"/>
          <w:lang w:eastAsia="tr-TR"/>
        </w:rPr>
        <w:t>exchangeRateBasis1</w:t>
      </w:r>
      <w:r w:rsidRPr="005B68EE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(Para Birimi</w:t>
      </w:r>
      <w:r w:rsidR="00C96759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Çifti</w:t>
      </w:r>
      <w:r w:rsidRPr="005B68EE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1) ve </w:t>
      </w:r>
      <w:r w:rsidRPr="005B68EE">
        <w:rPr>
          <w:rFonts w:ascii="Verdana" w:eastAsia="Times New Roman" w:hAnsi="Verdana" w:cs="Times New Roman"/>
          <w:b/>
          <w:color w:val="000000" w:themeColor="text1"/>
          <w:sz w:val="20"/>
          <w:szCs w:val="20"/>
          <w:bdr w:val="none" w:sz="0" w:space="0" w:color="auto" w:frame="1"/>
          <w:lang w:eastAsia="tr-TR"/>
        </w:rPr>
        <w:t>exchangeRateBasis2</w:t>
      </w:r>
      <w:r w:rsidRPr="005B68EE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(Para Birimi </w:t>
      </w:r>
      <w:r w:rsidR="00C96759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Çifti </w:t>
      </w:r>
      <w:r w:rsidRPr="005B68EE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2) alanlarına aynı para birimi cinsi girilmemelidir. Para Birimi 1 ve Para Birimi 2 alanları farklı olmalıdır.</w:t>
      </w:r>
    </w:p>
    <w:p w:rsidR="00AE3A82" w:rsidRDefault="00B854BE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  <w:r w:rsidRPr="00D44F0F">
        <w:rPr>
          <w:rFonts w:ascii="Verdana" w:hAnsi="Verdana"/>
          <w:color w:val="1F4E79" w:themeColor="accent1" w:themeShade="80"/>
          <w:sz w:val="20"/>
          <w:szCs w:val="20"/>
        </w:rPr>
        <w:t>exchangeRateBasis1 </w:t>
      </w:r>
      <w:r w:rsidR="0039792B">
        <w:rPr>
          <w:rFonts w:ascii="Verdana" w:hAnsi="Verdana"/>
          <w:color w:val="1F4E79" w:themeColor="accent1" w:themeShade="80"/>
          <w:sz w:val="20"/>
          <w:szCs w:val="20"/>
        </w:rPr>
        <w:t xml:space="preserve">(Para Birimi </w:t>
      </w:r>
      <w:proofErr w:type="spellStart"/>
      <w:r w:rsidR="0039792B"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 w:rsidR="0039792B">
        <w:rPr>
          <w:rFonts w:ascii="Verdana" w:hAnsi="Verdana"/>
          <w:color w:val="1F4E79" w:themeColor="accent1" w:themeShade="80"/>
          <w:sz w:val="20"/>
          <w:szCs w:val="20"/>
        </w:rPr>
        <w:t xml:space="preserve"> 1) </w:t>
      </w:r>
      <w:r w:rsidR="00F0736E" w:rsidRPr="00D44F0F">
        <w:rPr>
          <w:rFonts w:ascii="Verdana" w:hAnsi="Verdana"/>
          <w:b/>
          <w:color w:val="1F4E79" w:themeColor="accent1" w:themeShade="80"/>
          <w:sz w:val="20"/>
          <w:szCs w:val="20"/>
        </w:rPr>
        <w:t>≠</w:t>
      </w:r>
      <w:r w:rsidRPr="00D44F0F">
        <w:rPr>
          <w:rFonts w:ascii="Verdana" w:hAnsi="Verdana"/>
          <w:color w:val="1F4E79" w:themeColor="accent1" w:themeShade="80"/>
          <w:sz w:val="20"/>
          <w:szCs w:val="20"/>
        </w:rPr>
        <w:t xml:space="preserve"> exchangeRateBasis2</w:t>
      </w:r>
      <w:r w:rsidR="0039792B">
        <w:rPr>
          <w:rFonts w:ascii="Verdana" w:hAnsi="Verdana"/>
          <w:color w:val="1F4E79" w:themeColor="accent1" w:themeShade="80"/>
          <w:sz w:val="20"/>
          <w:szCs w:val="20"/>
        </w:rPr>
        <w:t xml:space="preserve"> (Para Birimi </w:t>
      </w:r>
      <w:proofErr w:type="spellStart"/>
      <w:r w:rsidR="0039792B"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 w:rsidR="0039792B">
        <w:rPr>
          <w:rFonts w:ascii="Verdana" w:hAnsi="Verdana"/>
          <w:color w:val="1F4E79" w:themeColor="accent1" w:themeShade="80"/>
          <w:sz w:val="20"/>
          <w:szCs w:val="20"/>
        </w:rPr>
        <w:t xml:space="preserve"> 2)</w:t>
      </w:r>
    </w:p>
    <w:p w:rsidR="00982B52" w:rsidRDefault="00B854BE" w:rsidP="00D2395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Segoe UI"/>
          <w:color w:val="000000" w:themeColor="text1"/>
          <w:sz w:val="20"/>
          <w:szCs w:val="20"/>
        </w:rPr>
      </w:pP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Açıklaması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:</w:t>
      </w:r>
      <w:r w:rsidR="002B1163" w:rsidRPr="002B1163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 xml:space="preserve">Para Birimi 1 ve Para Birimi 2 </w:t>
      </w:r>
      <w:proofErr w:type="spellStart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>alanları</w:t>
      </w:r>
      <w:proofErr w:type="spellEnd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proofErr w:type="spellStart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>farklı</w:t>
      </w:r>
      <w:proofErr w:type="spellEnd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 xml:space="preserve"> </w:t>
      </w:r>
      <w:proofErr w:type="spellStart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>olmalıdır</w:t>
      </w:r>
      <w:proofErr w:type="spellEnd"/>
      <w:r w:rsidR="002B1163" w:rsidRPr="002B1163">
        <w:rPr>
          <w:rFonts w:ascii="Verdana" w:hAnsi="Verdana" w:cs="Segoe UI"/>
          <w:color w:val="000000" w:themeColor="text1"/>
          <w:sz w:val="20"/>
          <w:szCs w:val="20"/>
        </w:rPr>
        <w:t>.</w:t>
      </w:r>
    </w:p>
    <w:p w:rsidR="00BC3404" w:rsidRPr="00D2395A" w:rsidRDefault="00BC3404" w:rsidP="00D2395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1F4E79" w:themeColor="accent1" w:themeShade="80"/>
          <w:sz w:val="20"/>
          <w:szCs w:val="20"/>
        </w:rPr>
      </w:pPr>
    </w:p>
    <w:p w:rsidR="00982B52" w:rsidRDefault="00982B52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1B3777">
        <w:rPr>
          <w:rFonts w:ascii="Verdana" w:hAnsi="Verdana"/>
          <w:color w:val="1F4E79" w:themeColor="accent1" w:themeShade="80"/>
          <w:sz w:val="20"/>
          <w:szCs w:val="20"/>
        </w:rPr>
        <w:t>exchangeRate1</w:t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 (Döviz 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Kuru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 1)</w:t>
      </w:r>
      <w:r w:rsidRPr="001B3777">
        <w:rPr>
          <w:rFonts w:ascii="Verdana" w:hAnsi="Verdana"/>
          <w:color w:val="1F4E79" w:themeColor="accent1" w:themeShade="80"/>
          <w:sz w:val="20"/>
          <w:szCs w:val="20"/>
        </w:rPr>
        <w:t xml:space="preserve">, exchangeRateBasis1 </w:t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(Para Birimi 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 1) </w:t>
      </w:r>
      <w:r w:rsidRPr="001B3777">
        <w:rPr>
          <w:rFonts w:ascii="Verdana" w:hAnsi="Verdana"/>
          <w:color w:val="1F4E79" w:themeColor="accent1" w:themeShade="80"/>
          <w:sz w:val="20"/>
          <w:szCs w:val="20"/>
        </w:rPr>
        <w:t>ve exchangeRateBasis2</w:t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 (Para Birimi </w:t>
      </w:r>
      <w:proofErr w:type="spellStart"/>
      <w:r>
        <w:rPr>
          <w:rFonts w:ascii="Verdana" w:hAnsi="Verdana"/>
          <w:color w:val="1F4E79" w:themeColor="accent1" w:themeShade="80"/>
          <w:sz w:val="20"/>
          <w:szCs w:val="20"/>
        </w:rPr>
        <w:t>Çifti</w:t>
      </w:r>
      <w:proofErr w:type="spellEnd"/>
      <w:r>
        <w:rPr>
          <w:rFonts w:ascii="Verdana" w:hAnsi="Verdana"/>
          <w:color w:val="1F4E79" w:themeColor="accent1" w:themeShade="80"/>
          <w:sz w:val="20"/>
          <w:szCs w:val="20"/>
        </w:rPr>
        <w:t xml:space="preserve"> 2) </w:t>
      </w:r>
      <w:proofErr w:type="spellStart"/>
      <w:r>
        <w:rPr>
          <w:rFonts w:ascii="Verdana" w:hAnsi="Verdana"/>
          <w:sz w:val="20"/>
          <w:szCs w:val="20"/>
        </w:rPr>
        <w:t>alanl</w:t>
      </w:r>
      <w:r w:rsidR="00AE3A82">
        <w:rPr>
          <w:rFonts w:ascii="Verdana" w:hAnsi="Verdana"/>
          <w:sz w:val="20"/>
          <w:szCs w:val="20"/>
        </w:rPr>
        <w:t>arının</w:t>
      </w:r>
      <w:proofErr w:type="spellEnd"/>
      <w:r w:rsidR="00AE3A82">
        <w:rPr>
          <w:rFonts w:ascii="Verdana" w:hAnsi="Verdana"/>
          <w:sz w:val="20"/>
          <w:szCs w:val="20"/>
        </w:rPr>
        <w:t xml:space="preserve"> </w:t>
      </w:r>
      <w:proofErr w:type="spellStart"/>
      <w:r w:rsidR="00AE3A82">
        <w:rPr>
          <w:rFonts w:ascii="Verdana" w:hAnsi="Verdana"/>
          <w:sz w:val="20"/>
          <w:szCs w:val="20"/>
        </w:rPr>
        <w:t>doldurulması</w:t>
      </w:r>
      <w:proofErr w:type="spellEnd"/>
      <w:r w:rsidR="00AE3A82">
        <w:rPr>
          <w:rFonts w:ascii="Verdana" w:hAnsi="Verdana"/>
          <w:sz w:val="20"/>
          <w:szCs w:val="20"/>
        </w:rPr>
        <w:t xml:space="preserve"> </w:t>
      </w:r>
      <w:proofErr w:type="spellStart"/>
      <w:r w:rsidR="00AE3A82">
        <w:rPr>
          <w:rFonts w:ascii="Verdana" w:hAnsi="Verdana"/>
          <w:sz w:val="20"/>
          <w:szCs w:val="20"/>
        </w:rPr>
        <w:t>zorunludur</w:t>
      </w:r>
      <w:proofErr w:type="spellEnd"/>
      <w:r w:rsidR="00AE3A82">
        <w:rPr>
          <w:rFonts w:ascii="Verdana" w:hAnsi="Verdana"/>
          <w:sz w:val="20"/>
          <w:szCs w:val="20"/>
        </w:rPr>
        <w:t>.</w:t>
      </w:r>
    </w:p>
    <w:p w:rsidR="00233FDD" w:rsidRDefault="00982B52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</w:pP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Hata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proofErr w:type="spellStart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Açıklaması</w:t>
      </w:r>
      <w:proofErr w:type="spellEnd"/>
      <w:r w:rsidRPr="00540540">
        <w:rPr>
          <w:rFonts w:ascii="Verdana" w:hAnsi="Verdana" w:cs="Segoe UI"/>
          <w:b/>
          <w:color w:val="000000" w:themeColor="text1"/>
          <w:sz w:val="16"/>
          <w:szCs w:val="20"/>
        </w:rPr>
        <w:t>:</w:t>
      </w:r>
      <w:r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r w:rsidRPr="0097615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Varlık sınıfının para birimi olması durumunda "Döviz Kuru 1", "Para Birimi 1" ve "Para Birimi 2" alanlarının doldurulması zorunludur.</w:t>
      </w:r>
    </w:p>
    <w:p w:rsidR="009965DF" w:rsidRDefault="009965DF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</w:pPr>
    </w:p>
    <w:p w:rsidR="009249C7" w:rsidRDefault="009249C7" w:rsidP="00AE3A82"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9249C7">
        <w:rPr>
          <w:rFonts w:ascii="Verdana" w:hAnsi="Verdana"/>
          <w:color w:val="1F4E79" w:themeColor="accent1" w:themeShade="80"/>
          <w:sz w:val="20"/>
          <w:szCs w:val="20"/>
        </w:rPr>
        <w:t>exchangeRateBasis1</w:t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r w:rsidRPr="009249C7">
        <w:rPr>
          <w:rFonts w:ascii="Verdana" w:hAnsi="Verdana"/>
          <w:b/>
          <w:color w:val="1F4E79" w:themeColor="accent1" w:themeShade="80"/>
          <w:sz w:val="20"/>
          <w:szCs w:val="20"/>
        </w:rPr>
        <w:t>=</w:t>
      </w:r>
      <w:r>
        <w:rPr>
          <w:rFonts w:ascii="Verdana" w:hAnsi="Verdana"/>
          <w:color w:val="1F4E79" w:themeColor="accent1" w:themeShade="80"/>
          <w:sz w:val="20"/>
          <w:szCs w:val="20"/>
        </w:rPr>
        <w:t xml:space="preserve"> </w:t>
      </w:r>
      <w:r w:rsidRPr="009249C7">
        <w:rPr>
          <w:rFonts w:ascii="Verdana" w:hAnsi="Verdana"/>
          <w:color w:val="1F4E79" w:themeColor="accent1" w:themeShade="80"/>
          <w:sz w:val="20"/>
          <w:szCs w:val="20"/>
        </w:rPr>
        <w:t>notionalCurrency1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proofErr w:type="spellStart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>alanları</w:t>
      </w:r>
      <w:proofErr w:type="spellEnd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>eşit</w:t>
      </w:r>
      <w:proofErr w:type="spellEnd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>olmalıdır</w:t>
      </w:r>
      <w:proofErr w:type="spellEnd"/>
      <w:r w:rsidRPr="009249C7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9249C7" w:rsidRDefault="009249C7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</w:pPr>
      <w:proofErr w:type="spellStart"/>
      <w:r>
        <w:rPr>
          <w:rFonts w:ascii="Verdana" w:hAnsi="Verdana" w:cs="Segoe UI"/>
          <w:b/>
          <w:color w:val="000000" w:themeColor="text1"/>
          <w:sz w:val="16"/>
          <w:szCs w:val="20"/>
        </w:rPr>
        <w:t>Hata</w:t>
      </w:r>
      <w:proofErr w:type="spellEnd"/>
      <w:r>
        <w:rPr>
          <w:rFonts w:ascii="Verdana" w:hAnsi="Verdana" w:cs="Segoe UI"/>
          <w:b/>
          <w:color w:val="000000" w:themeColor="text1"/>
          <w:sz w:val="16"/>
          <w:szCs w:val="20"/>
        </w:rPr>
        <w:t xml:space="preserve"> </w:t>
      </w:r>
      <w:proofErr w:type="spellStart"/>
      <w:r>
        <w:rPr>
          <w:rFonts w:ascii="Verdana" w:hAnsi="Verdana" w:cs="Segoe UI"/>
          <w:b/>
          <w:color w:val="000000" w:themeColor="text1"/>
          <w:sz w:val="16"/>
          <w:szCs w:val="20"/>
        </w:rPr>
        <w:t>açıklaması</w:t>
      </w:r>
      <w:proofErr w:type="spellEnd"/>
      <w:r>
        <w:rPr>
          <w:rFonts w:ascii="Verdana" w:hAnsi="Verdana" w:cs="Segoe UI"/>
          <w:b/>
          <w:color w:val="000000" w:themeColor="text1"/>
          <w:sz w:val="16"/>
          <w:szCs w:val="20"/>
        </w:rPr>
        <w:t>: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</w:t>
      </w:r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Varlık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sınıfının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para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birimi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olması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durumunda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"Para Birimi 1"</w:t>
      </w:r>
      <w:r w:rsidR="00DC363E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 ve </w:t>
      </w:r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"Nominal Para Birimi-I"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alanları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aynı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 xml:space="preserve"> </w:t>
      </w:r>
      <w:proofErr w:type="spellStart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olmalıdır</w:t>
      </w:r>
      <w:proofErr w:type="spellEnd"/>
      <w:r w:rsidRPr="009249C7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  <w:t>.</w:t>
      </w:r>
      <w:bookmarkStart w:id="0" w:name="_GoBack"/>
      <w:bookmarkEnd w:id="0"/>
    </w:p>
    <w:p w:rsidR="00D171FA" w:rsidRPr="009965DF" w:rsidRDefault="00D171FA" w:rsidP="00AE3A8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tr-TR" w:eastAsia="tr-TR"/>
        </w:rPr>
      </w:pPr>
    </w:p>
    <w:p w:rsidR="000249BE" w:rsidRPr="0022618E" w:rsidRDefault="000249BE" w:rsidP="0022618E">
      <w:pPr>
        <w:pStyle w:val="ListParagraph"/>
        <w:numPr>
          <w:ilvl w:val="0"/>
          <w:numId w:val="9"/>
        </w:numPr>
        <w:spacing w:before="150"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  <w:r w:rsidRPr="0022618E">
        <w:rPr>
          <w:rFonts w:ascii="Verdana" w:hAnsi="Verdana" w:cs="Segoe UI"/>
          <w:b/>
          <w:color w:val="FF0000"/>
          <w:spacing w:val="-4"/>
          <w:sz w:val="20"/>
          <w:szCs w:val="20"/>
        </w:rPr>
        <w:lastRenderedPageBreak/>
        <w:t>Nihai Faydalanıcı Alanları ile İlgili Düzenlemeler</w:t>
      </w:r>
    </w:p>
    <w:p w:rsidR="00380DC4" w:rsidRPr="00D44F0F" w:rsidRDefault="00380DC4" w:rsidP="00AE3A82">
      <w:pPr>
        <w:spacing w:before="150" w:after="0" w:line="360" w:lineRule="auto"/>
        <w:jc w:val="both"/>
        <w:rPr>
          <w:rFonts w:ascii="Verdana" w:hAnsi="Verdana" w:cs="Segoe UI"/>
          <w:b/>
          <w:color w:val="FF0000"/>
          <w:spacing w:val="-4"/>
          <w:sz w:val="20"/>
          <w:szCs w:val="20"/>
        </w:rPr>
      </w:pPr>
    </w:p>
    <w:p w:rsidR="000249BE" w:rsidRDefault="000249BE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Daha öncesinde Nihai Faydalanıcı Alanı’na sadece tek faydalanıcı bilgisi girilirken yeni yapılan geliştirmeler sonrası birden fazla Nihai Faydalanıcı bilgisi girilebilmektedir.</w:t>
      </w:r>
    </w:p>
    <w:p w:rsidR="00380DC4" w:rsidRPr="00D44F0F" w:rsidRDefault="00380DC4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</w:p>
    <w:p w:rsidR="000249BE" w:rsidRPr="00E15A86" w:rsidRDefault="000249BE" w:rsidP="00AE3A82">
      <w:pPr>
        <w:pStyle w:val="ListParagraph"/>
        <w:numPr>
          <w:ilvl w:val="0"/>
          <w:numId w:val="7"/>
        </w:num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tr-TR"/>
        </w:rPr>
      </w:pPr>
      <w:r w:rsidRPr="00BF3B45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tr-TR"/>
        </w:rPr>
        <w:t>Ekrandan Giriş:</w:t>
      </w:r>
    </w:p>
    <w:p w:rsidR="000249BE" w:rsidRPr="00D44F0F" w:rsidRDefault="000249BE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Manuel giriş yapıyor iseniz Nihai Faydalanıcı bilgisini girmek için aşağıda görüntüsü bulunan butona tıklamanız gerekmektedir.</w:t>
      </w:r>
    </w:p>
    <w:p w:rsidR="000249BE" w:rsidRPr="00D44F0F" w:rsidRDefault="000249BE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hAnsi="Verdana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0C26E337" wp14:editId="47CB47CD">
            <wp:extent cx="5941060" cy="3403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9BE" w:rsidRPr="00D44F0F" w:rsidRDefault="000249BE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Daha sonra karşınıza gelecek </w:t>
      </w:r>
      <w:r w:rsidR="00C4487B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olan aşağıdaki ekrandaki bilgilerin girilmesi gerekmektedir. </w:t>
      </w:r>
    </w:p>
    <w:p w:rsidR="00C4487B" w:rsidRPr="00D44F0F" w:rsidRDefault="000249BE" w:rsidP="00AE3A82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val="en-US"/>
        </w:rPr>
      </w:pPr>
      <w:r w:rsidRPr="00D44F0F">
        <w:rPr>
          <w:rFonts w:ascii="Verdana" w:hAnsi="Verdana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13D19650" wp14:editId="668943BE">
            <wp:extent cx="5907620" cy="37007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3875" cy="372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87B" w:rsidRPr="00D44F0F" w:rsidRDefault="00C4487B" w:rsidP="00AE3A82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Bilgileri girip “listeye Ekle” </w:t>
      </w:r>
      <w:r w:rsidR="00EE70FC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butonuna tıklayarak bir</w:t>
      </w:r>
      <w:r w:rsidR="00975BA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sözleş</w:t>
      </w:r>
      <w:r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meye birden fazla Nihai Faydalanıcı ekleyebilirsiniz.</w:t>
      </w:r>
      <w:r w:rsidR="00011D4A" w:rsidRPr="00011D4A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</w:t>
      </w:r>
      <w:r w:rsidR="00011D4A" w:rsidRPr="00DD3A4B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Bildirim içerisindeki nominal alanı</w:t>
      </w:r>
      <w:r w:rsidR="00011D4A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(notional)</w:t>
      </w:r>
      <w:r w:rsidR="00011D4A" w:rsidRPr="00DD3A4B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ile nihai faydalanıcıların nominal değerleri toplamı aynı olmalıdır.</w:t>
      </w:r>
    </w:p>
    <w:p w:rsidR="006A0406" w:rsidRPr="00D44F0F" w:rsidRDefault="00C4487B" w:rsidP="00AE3A82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val="en-US"/>
        </w:rPr>
      </w:pPr>
      <w:r w:rsidRPr="00D44F0F">
        <w:rPr>
          <w:rFonts w:ascii="Verdana" w:hAnsi="Verdana"/>
          <w:noProof/>
          <w:color w:val="000000" w:themeColor="text1"/>
          <w:sz w:val="20"/>
          <w:szCs w:val="20"/>
          <w:lang w:eastAsia="tr-TR"/>
        </w:rPr>
        <w:lastRenderedPageBreak/>
        <w:drawing>
          <wp:inline distT="0" distB="0" distL="0" distR="0" wp14:anchorId="62F2106C" wp14:editId="036CFE6F">
            <wp:extent cx="5940904" cy="3753016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995" cy="378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D57" w:rsidRPr="00BF3B45" w:rsidRDefault="00362D57" w:rsidP="00AE3A82">
      <w:pPr>
        <w:pStyle w:val="ListParagraph"/>
        <w:numPr>
          <w:ilvl w:val="0"/>
          <w:numId w:val="7"/>
        </w:num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tr-TR"/>
        </w:rPr>
      </w:pPr>
      <w:r w:rsidRPr="00BF3B45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bdr w:val="none" w:sz="0" w:space="0" w:color="auto" w:frame="1"/>
          <w:lang w:eastAsia="tr-TR"/>
        </w:rPr>
        <w:t>XML ile Dosya Aktarımı:</w:t>
      </w:r>
    </w:p>
    <w:p w:rsidR="00B04C3F" w:rsidRPr="00D44F0F" w:rsidRDefault="00AF3C80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Aşağıdaki</w:t>
      </w:r>
      <w:r w:rsidR="00D41A0B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ekran görüntüsünde sarı ile işaretlenen tagler XML şemasına eklenmiş olup, beneficiary</w:t>
      </w:r>
      <w:r w:rsidR="005D32EE" w:rsidRPr="00D44F0F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Item tagleri çoklanabilmektedir. Böylelikle, birden fazla nihai faydalanıcı belirtilebilmektedir.</w:t>
      </w:r>
      <w:r w:rsidR="00DD3A4B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</w:t>
      </w:r>
      <w:r w:rsidR="00011D4A" w:rsidRPr="00DD3A4B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>Bildirim içerisindeki nominal alanı</w:t>
      </w:r>
      <w:r w:rsidR="00011D4A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(notional)</w:t>
      </w:r>
      <w:r w:rsidR="00011D4A" w:rsidRPr="00DD3A4B"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  <w:t xml:space="preserve"> ile nihai faydalanıcıların nominal değerleri toplamı aynı olmalıdır.</w:t>
      </w:r>
    </w:p>
    <w:p w:rsidR="00B21C5B" w:rsidRPr="00D44F0F" w:rsidRDefault="00B21C5B" w:rsidP="00AE3A82">
      <w:pPr>
        <w:spacing w:before="150"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bdr w:val="none" w:sz="0" w:space="0" w:color="auto" w:frame="1"/>
          <w:lang w:eastAsia="tr-TR"/>
        </w:rPr>
      </w:pPr>
      <w:r w:rsidRPr="00D44F0F">
        <w:rPr>
          <w:rFonts w:ascii="Verdana" w:hAnsi="Verdana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72BFA2DB" wp14:editId="27BED2FE">
            <wp:extent cx="5926482" cy="319642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6701" cy="3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9CB" w:rsidRPr="005F69CB" w:rsidRDefault="005F69CB" w:rsidP="00AE3A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5F69CB" w:rsidRPr="005F69CB" w:rsidSect="00C733C3">
      <w:pgSz w:w="11906" w:h="16838" w:code="9"/>
      <w:pgMar w:top="1418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13" w:rsidRDefault="00E47413" w:rsidP="005F69CB">
      <w:pPr>
        <w:spacing w:after="0" w:line="240" w:lineRule="auto"/>
      </w:pPr>
      <w:r>
        <w:separator/>
      </w:r>
    </w:p>
  </w:endnote>
  <w:endnote w:type="continuationSeparator" w:id="0">
    <w:p w:rsidR="00E47413" w:rsidRDefault="00E47413" w:rsidP="005F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13" w:rsidRDefault="00E47413" w:rsidP="005F69CB">
      <w:pPr>
        <w:spacing w:after="0" w:line="240" w:lineRule="auto"/>
      </w:pPr>
      <w:r>
        <w:separator/>
      </w:r>
    </w:p>
  </w:footnote>
  <w:footnote w:type="continuationSeparator" w:id="0">
    <w:p w:rsidR="00E47413" w:rsidRDefault="00E47413" w:rsidP="005F69CB">
      <w:pPr>
        <w:spacing w:after="0" w:line="240" w:lineRule="auto"/>
      </w:pPr>
      <w:r>
        <w:continuationSeparator/>
      </w:r>
    </w:p>
  </w:footnote>
  <w:footnote w:id="1">
    <w:p w:rsidR="005F69CB" w:rsidRPr="005F69CB" w:rsidRDefault="005F69CB" w:rsidP="00994827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F69CB">
        <w:rPr>
          <w:rFonts w:ascii="Verdana" w:hAnsi="Verdana"/>
          <w:color w:val="000000" w:themeColor="text1"/>
          <w:sz w:val="20"/>
          <w:szCs w:val="20"/>
        </w:rPr>
        <w:t xml:space="preserve">Para birimine dayalı fark sözleşmelerinde forwardExchangeRate alanına spot döviz kuru bilgisi girilebilir. İlgili alan zorunlu olduğundan dolayı </w:t>
      </w:r>
      <w:r w:rsidR="0041427E">
        <w:rPr>
          <w:rFonts w:ascii="Verdana" w:hAnsi="Verdana"/>
          <w:color w:val="000000" w:themeColor="text1"/>
          <w:sz w:val="20"/>
          <w:szCs w:val="20"/>
        </w:rPr>
        <w:t>boş bırakılması</w:t>
      </w:r>
      <w:r w:rsidRPr="005F69CB">
        <w:rPr>
          <w:rFonts w:ascii="Verdana" w:hAnsi="Verdana"/>
          <w:color w:val="000000" w:themeColor="text1"/>
          <w:sz w:val="20"/>
          <w:szCs w:val="20"/>
        </w:rPr>
        <w:t xml:space="preserve"> hal</w:t>
      </w:r>
      <w:r w:rsidR="0041427E">
        <w:rPr>
          <w:rFonts w:ascii="Verdana" w:hAnsi="Verdana"/>
          <w:color w:val="000000" w:themeColor="text1"/>
          <w:sz w:val="20"/>
          <w:szCs w:val="20"/>
        </w:rPr>
        <w:t>in</w:t>
      </w:r>
      <w:r w:rsidRPr="005F69CB">
        <w:rPr>
          <w:rFonts w:ascii="Verdana" w:hAnsi="Verdana"/>
          <w:color w:val="000000" w:themeColor="text1"/>
          <w:sz w:val="20"/>
          <w:szCs w:val="20"/>
        </w:rPr>
        <w:t>de hata alınacaktır.</w:t>
      </w:r>
    </w:p>
    <w:p w:rsidR="005F69CB" w:rsidRDefault="005F69CB" w:rsidP="00994827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C17"/>
    <w:multiLevelType w:val="hybridMultilevel"/>
    <w:tmpl w:val="A27626E2"/>
    <w:lvl w:ilvl="0" w:tplc="8DA80C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6ADC"/>
    <w:multiLevelType w:val="hybridMultilevel"/>
    <w:tmpl w:val="188E69B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F08"/>
    <w:multiLevelType w:val="multilevel"/>
    <w:tmpl w:val="A9A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33360"/>
    <w:multiLevelType w:val="hybridMultilevel"/>
    <w:tmpl w:val="7C2A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58F4"/>
    <w:multiLevelType w:val="hybridMultilevel"/>
    <w:tmpl w:val="BCA6B386"/>
    <w:lvl w:ilvl="0" w:tplc="E91EBBA2">
      <w:start w:val="7"/>
      <w:numFmt w:val="decimal"/>
      <w:lvlText w:val="%1."/>
      <w:lvlJc w:val="left"/>
      <w:pPr>
        <w:ind w:left="720" w:hanging="360"/>
      </w:pPr>
      <w:rPr>
        <w:rFonts w:eastAsiaTheme="minorHAnsi" w:cs="Segoe UI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E721C"/>
    <w:multiLevelType w:val="hybridMultilevel"/>
    <w:tmpl w:val="E70A2CD0"/>
    <w:lvl w:ilvl="0" w:tplc="191EE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714C"/>
    <w:multiLevelType w:val="hybridMultilevel"/>
    <w:tmpl w:val="7C2A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F6C"/>
    <w:multiLevelType w:val="multilevel"/>
    <w:tmpl w:val="6E58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912A3"/>
    <w:multiLevelType w:val="multilevel"/>
    <w:tmpl w:val="6E2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87178"/>
    <w:multiLevelType w:val="hybridMultilevel"/>
    <w:tmpl w:val="AF1C4B50"/>
    <w:lvl w:ilvl="0" w:tplc="71A44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61198"/>
    <w:multiLevelType w:val="hybridMultilevel"/>
    <w:tmpl w:val="C4163BB6"/>
    <w:lvl w:ilvl="0" w:tplc="E91EBBA2">
      <w:start w:val="7"/>
      <w:numFmt w:val="decimal"/>
      <w:lvlText w:val="%1."/>
      <w:lvlJc w:val="left"/>
      <w:pPr>
        <w:ind w:left="720" w:hanging="360"/>
      </w:pPr>
      <w:rPr>
        <w:rFonts w:eastAsiaTheme="minorHAnsi" w:cs="Segoe UI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37C86"/>
    <w:multiLevelType w:val="hybridMultilevel"/>
    <w:tmpl w:val="7C2A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83E1A"/>
    <w:multiLevelType w:val="multilevel"/>
    <w:tmpl w:val="633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F4"/>
    <w:rsid w:val="00011D4A"/>
    <w:rsid w:val="000249BE"/>
    <w:rsid w:val="00024BBF"/>
    <w:rsid w:val="0008718E"/>
    <w:rsid w:val="0009320D"/>
    <w:rsid w:val="00096244"/>
    <w:rsid w:val="000A5D36"/>
    <w:rsid w:val="000F1A0F"/>
    <w:rsid w:val="001043CD"/>
    <w:rsid w:val="00152193"/>
    <w:rsid w:val="00175B1C"/>
    <w:rsid w:val="001B313B"/>
    <w:rsid w:val="001B3777"/>
    <w:rsid w:val="002020C2"/>
    <w:rsid w:val="002052C8"/>
    <w:rsid w:val="0022618E"/>
    <w:rsid w:val="00233FDD"/>
    <w:rsid w:val="00253E0B"/>
    <w:rsid w:val="00255431"/>
    <w:rsid w:val="00257145"/>
    <w:rsid w:val="002601B6"/>
    <w:rsid w:val="00260688"/>
    <w:rsid w:val="00272EE2"/>
    <w:rsid w:val="00290FFA"/>
    <w:rsid w:val="00292737"/>
    <w:rsid w:val="002A2C0A"/>
    <w:rsid w:val="002B1163"/>
    <w:rsid w:val="00354E96"/>
    <w:rsid w:val="00362D57"/>
    <w:rsid w:val="00380DC4"/>
    <w:rsid w:val="0039792B"/>
    <w:rsid w:val="003A7303"/>
    <w:rsid w:val="003C3867"/>
    <w:rsid w:val="003C6EBC"/>
    <w:rsid w:val="003E7191"/>
    <w:rsid w:val="003F2B29"/>
    <w:rsid w:val="0040363A"/>
    <w:rsid w:val="0041427E"/>
    <w:rsid w:val="004150A0"/>
    <w:rsid w:val="00415A5B"/>
    <w:rsid w:val="004230EB"/>
    <w:rsid w:val="00456890"/>
    <w:rsid w:val="004670DF"/>
    <w:rsid w:val="00470062"/>
    <w:rsid w:val="004B125F"/>
    <w:rsid w:val="00513CFE"/>
    <w:rsid w:val="00540540"/>
    <w:rsid w:val="005544C6"/>
    <w:rsid w:val="005B2447"/>
    <w:rsid w:val="005B68EE"/>
    <w:rsid w:val="005D32EE"/>
    <w:rsid w:val="005E32AB"/>
    <w:rsid w:val="005F69CB"/>
    <w:rsid w:val="00627ABF"/>
    <w:rsid w:val="00682F47"/>
    <w:rsid w:val="00697711"/>
    <w:rsid w:val="006A0406"/>
    <w:rsid w:val="006B5FA8"/>
    <w:rsid w:val="006F5013"/>
    <w:rsid w:val="006F66D6"/>
    <w:rsid w:val="00701E24"/>
    <w:rsid w:val="00706B59"/>
    <w:rsid w:val="00724554"/>
    <w:rsid w:val="007532B0"/>
    <w:rsid w:val="007C342E"/>
    <w:rsid w:val="007E3617"/>
    <w:rsid w:val="00806EE9"/>
    <w:rsid w:val="008445CC"/>
    <w:rsid w:val="00852E72"/>
    <w:rsid w:val="00881EB2"/>
    <w:rsid w:val="008A37F4"/>
    <w:rsid w:val="008B1032"/>
    <w:rsid w:val="008B3CF4"/>
    <w:rsid w:val="008C2234"/>
    <w:rsid w:val="008D6D38"/>
    <w:rsid w:val="008F5190"/>
    <w:rsid w:val="00901175"/>
    <w:rsid w:val="00921304"/>
    <w:rsid w:val="009249C7"/>
    <w:rsid w:val="009726EB"/>
    <w:rsid w:val="009749AF"/>
    <w:rsid w:val="00975BAF"/>
    <w:rsid w:val="00976150"/>
    <w:rsid w:val="00982B52"/>
    <w:rsid w:val="00994827"/>
    <w:rsid w:val="009965DF"/>
    <w:rsid w:val="009C6BBB"/>
    <w:rsid w:val="009F6EF4"/>
    <w:rsid w:val="00A1780F"/>
    <w:rsid w:val="00A61EC7"/>
    <w:rsid w:val="00A91BDA"/>
    <w:rsid w:val="00AE3A82"/>
    <w:rsid w:val="00AF3C80"/>
    <w:rsid w:val="00B04C3F"/>
    <w:rsid w:val="00B07534"/>
    <w:rsid w:val="00B21C5B"/>
    <w:rsid w:val="00B44C29"/>
    <w:rsid w:val="00B7105E"/>
    <w:rsid w:val="00B854BE"/>
    <w:rsid w:val="00BC3404"/>
    <w:rsid w:val="00BE0DB9"/>
    <w:rsid w:val="00BF3B45"/>
    <w:rsid w:val="00C4487B"/>
    <w:rsid w:val="00C61346"/>
    <w:rsid w:val="00C733C3"/>
    <w:rsid w:val="00C826C0"/>
    <w:rsid w:val="00C96759"/>
    <w:rsid w:val="00CC3FEF"/>
    <w:rsid w:val="00CD1248"/>
    <w:rsid w:val="00D171FA"/>
    <w:rsid w:val="00D2395A"/>
    <w:rsid w:val="00D24624"/>
    <w:rsid w:val="00D313FA"/>
    <w:rsid w:val="00D41A0B"/>
    <w:rsid w:val="00D44F0F"/>
    <w:rsid w:val="00D663BF"/>
    <w:rsid w:val="00DB7EA0"/>
    <w:rsid w:val="00DC363E"/>
    <w:rsid w:val="00DD3A4B"/>
    <w:rsid w:val="00E15A86"/>
    <w:rsid w:val="00E43999"/>
    <w:rsid w:val="00E440A0"/>
    <w:rsid w:val="00E47413"/>
    <w:rsid w:val="00EA0DC1"/>
    <w:rsid w:val="00EA25FD"/>
    <w:rsid w:val="00EE70FC"/>
    <w:rsid w:val="00F0736E"/>
    <w:rsid w:val="00F27F94"/>
    <w:rsid w:val="00F91D30"/>
    <w:rsid w:val="00F9496A"/>
    <w:rsid w:val="00FA761D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B25"/>
  <w15:chartTrackingRefBased/>
  <w15:docId w15:val="{649204F0-5EDE-4A81-A6DF-9A08168D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3C3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249B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5F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CB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5F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CB"/>
    <w:rPr>
      <w:lang w:val="tr-T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69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9CB"/>
    <w:rPr>
      <w:sz w:val="20"/>
      <w:szCs w:val="20"/>
      <w:lang w:val="tr-TR"/>
    </w:rPr>
  </w:style>
  <w:style w:type="character" w:styleId="EndnoteReference">
    <w:name w:val="endnote reference"/>
    <w:basedOn w:val="DefaultParagraphFont"/>
    <w:uiPriority w:val="99"/>
    <w:semiHidden/>
    <w:unhideWhenUsed/>
    <w:rsid w:val="005F69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9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9CB"/>
    <w:rPr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5F6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EC6D0-16A3-422C-90B1-720BC5FC1D2E}"/>
</file>

<file path=customXml/itemProps2.xml><?xml version="1.0" encoding="utf-8"?>
<ds:datastoreItem xmlns:ds="http://schemas.openxmlformats.org/officeDocument/2006/customXml" ds:itemID="{6A27C623-D85E-4ACD-99DF-5F506327BF66}"/>
</file>

<file path=customXml/itemProps3.xml><?xml version="1.0" encoding="utf-8"?>
<ds:datastoreItem xmlns:ds="http://schemas.openxmlformats.org/officeDocument/2006/customXml" ds:itemID="{A5EAB76D-371A-4A66-B03A-43C07B9612E0}"/>
</file>

<file path=customXml/itemProps4.xml><?xml version="1.0" encoding="utf-8"?>
<ds:datastoreItem xmlns:ds="http://schemas.openxmlformats.org/officeDocument/2006/customXml" ds:itemID="{CF39338E-2027-45FD-86B7-24EB7DCF2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Biltas</dc:creator>
  <cp:keywords/>
  <dc:description/>
  <cp:lastModifiedBy>Bilgehan Kavlak</cp:lastModifiedBy>
  <cp:revision>11</cp:revision>
  <dcterms:created xsi:type="dcterms:W3CDTF">2019-07-31T12:22:00Z</dcterms:created>
  <dcterms:modified xsi:type="dcterms:W3CDTF">2019-08-01T13:59:00Z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