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EC331" w14:textId="2827D2A4" w:rsidR="002164F8" w:rsidRPr="002164F8" w:rsidRDefault="002164F8" w:rsidP="002164F8">
      <w:pPr>
        <w:shd w:val="clear" w:color="auto" w:fill="FFFFFF"/>
        <w:spacing w:before="90" w:after="90"/>
        <w:jc w:val="center"/>
        <w:rPr>
          <w:rFonts w:asciiTheme="minorHAnsi" w:hAnsiTheme="minorHAnsi" w:cstheme="minorHAnsi"/>
          <w:b/>
          <w:bCs/>
          <w:color w:val="000000"/>
          <w:sz w:val="24"/>
          <w:szCs w:val="24"/>
          <w:lang w:eastAsia="tr-TR"/>
        </w:rPr>
      </w:pPr>
      <w:bookmarkStart w:id="0" w:name="_GoBack"/>
      <w:bookmarkEnd w:id="0"/>
      <w:r w:rsidRPr="002164F8">
        <w:rPr>
          <w:rFonts w:asciiTheme="minorHAnsi" w:hAnsiTheme="minorHAnsi" w:cstheme="minorHAnsi"/>
          <w:b/>
          <w:bCs/>
          <w:color w:val="000000"/>
          <w:sz w:val="24"/>
          <w:szCs w:val="24"/>
          <w:lang w:eastAsia="tr-TR"/>
        </w:rPr>
        <w:t xml:space="preserve">KAP SİSTEMİNDE 03.02.2024 TARİHİNDE </w:t>
      </w:r>
      <w:r>
        <w:rPr>
          <w:rFonts w:asciiTheme="minorHAnsi" w:hAnsiTheme="minorHAnsi" w:cstheme="minorHAnsi"/>
          <w:b/>
          <w:bCs/>
          <w:color w:val="000000"/>
          <w:sz w:val="24"/>
          <w:szCs w:val="24"/>
          <w:lang w:eastAsia="tr-TR"/>
        </w:rPr>
        <w:t>UYGULAMAYA ALINAN</w:t>
      </w:r>
      <w:r w:rsidRPr="002164F8">
        <w:rPr>
          <w:rFonts w:asciiTheme="minorHAnsi" w:hAnsiTheme="minorHAnsi" w:cstheme="minorHAnsi"/>
          <w:b/>
          <w:bCs/>
          <w:color w:val="000000"/>
          <w:sz w:val="24"/>
          <w:szCs w:val="24"/>
          <w:lang w:eastAsia="tr-TR"/>
        </w:rPr>
        <w:t xml:space="preserve"> YENİLİKLER</w:t>
      </w:r>
    </w:p>
    <w:p w14:paraId="3B88185F" w14:textId="77777777" w:rsidR="002164F8" w:rsidRPr="002164F8" w:rsidRDefault="002164F8" w:rsidP="003F7D4D">
      <w:pPr>
        <w:shd w:val="clear" w:color="auto" w:fill="FFFFFF"/>
        <w:spacing w:before="90" w:after="90"/>
        <w:rPr>
          <w:rFonts w:asciiTheme="minorHAnsi" w:hAnsiTheme="minorHAnsi" w:cstheme="minorHAnsi"/>
          <w:color w:val="000000"/>
          <w:sz w:val="24"/>
          <w:szCs w:val="24"/>
          <w:lang w:eastAsia="tr-TR"/>
        </w:rPr>
      </w:pPr>
    </w:p>
    <w:p w14:paraId="2068B4BF" w14:textId="50B47BAD" w:rsidR="003F7D4D" w:rsidRPr="002164F8" w:rsidRDefault="003F7D4D" w:rsidP="003F7D4D">
      <w:pPr>
        <w:shd w:val="clear" w:color="auto" w:fill="FFFFFF"/>
        <w:spacing w:before="90" w:after="90"/>
        <w:rPr>
          <w:rFonts w:asciiTheme="minorHAnsi" w:hAnsiTheme="minorHAnsi" w:cstheme="minorHAnsi"/>
          <w:color w:val="000000"/>
          <w:sz w:val="24"/>
          <w:szCs w:val="24"/>
          <w:lang w:eastAsia="tr-TR"/>
        </w:rPr>
      </w:pPr>
      <w:r w:rsidRPr="002164F8">
        <w:rPr>
          <w:rFonts w:asciiTheme="minorHAnsi" w:hAnsiTheme="minorHAnsi" w:cstheme="minorHAnsi"/>
          <w:color w:val="000000"/>
          <w:sz w:val="24"/>
          <w:szCs w:val="24"/>
          <w:lang w:eastAsia="tr-TR"/>
        </w:rPr>
        <w:t>Kamuyu Aydınlatma Platformu’nda (KAP)</w:t>
      </w:r>
      <w:r w:rsidR="002164F8">
        <w:rPr>
          <w:rFonts w:asciiTheme="minorHAnsi" w:hAnsiTheme="minorHAnsi" w:cstheme="minorHAnsi"/>
          <w:color w:val="000000"/>
          <w:sz w:val="24"/>
          <w:szCs w:val="24"/>
          <w:lang w:eastAsia="tr-TR"/>
        </w:rPr>
        <w:t xml:space="preserve"> 03.02.2024 tarihinde aşağıdaki yenilikler uygulamaya alınmıştır.</w:t>
      </w:r>
    </w:p>
    <w:p w14:paraId="6BEAC7A5" w14:textId="77777777" w:rsidR="003F7D4D" w:rsidRPr="002164F8" w:rsidRDefault="003F7D4D" w:rsidP="003F7D4D">
      <w:pPr>
        <w:numPr>
          <w:ilvl w:val="0"/>
          <w:numId w:val="1"/>
        </w:numPr>
        <w:shd w:val="clear" w:color="auto" w:fill="FFFFFF"/>
        <w:spacing w:before="100" w:beforeAutospacing="1" w:after="100" w:afterAutospacing="1"/>
        <w:rPr>
          <w:rFonts w:asciiTheme="minorHAnsi" w:eastAsia="Times New Roman" w:hAnsiTheme="minorHAnsi" w:cstheme="minorHAnsi"/>
          <w:color w:val="000000"/>
          <w:sz w:val="24"/>
          <w:szCs w:val="24"/>
          <w:lang w:eastAsia="tr-TR"/>
        </w:rPr>
      </w:pPr>
      <w:r w:rsidRPr="002164F8">
        <w:rPr>
          <w:rFonts w:asciiTheme="minorHAnsi" w:eastAsia="Times New Roman" w:hAnsiTheme="minorHAnsi" w:cstheme="minorHAnsi"/>
          <w:color w:val="000000"/>
          <w:sz w:val="24"/>
          <w:szCs w:val="24"/>
          <w:lang w:eastAsia="tr-TR"/>
        </w:rPr>
        <w:t>KAP B</w:t>
      </w:r>
      <w:r w:rsidRPr="002164F8">
        <w:rPr>
          <w:rFonts w:asciiTheme="minorHAnsi" w:eastAsia="Times New Roman" w:hAnsiTheme="minorHAnsi" w:cstheme="minorHAnsi"/>
          <w:color w:val="1F497D"/>
          <w:sz w:val="24"/>
          <w:szCs w:val="24"/>
          <w:lang w:eastAsia="tr-TR"/>
        </w:rPr>
        <w:t>İ</w:t>
      </w:r>
      <w:r w:rsidRPr="002164F8">
        <w:rPr>
          <w:rFonts w:asciiTheme="minorHAnsi" w:eastAsia="Times New Roman" w:hAnsiTheme="minorHAnsi" w:cstheme="minorHAnsi"/>
          <w:color w:val="000000"/>
          <w:sz w:val="24"/>
          <w:szCs w:val="24"/>
          <w:lang w:eastAsia="tr-TR"/>
        </w:rPr>
        <w:t xml:space="preserve">Y uygulamasına Hak Kullanım Bildirimleri’ne ilişkin kılavuzlar eklenmiştir. </w:t>
      </w:r>
    </w:p>
    <w:p w14:paraId="28F9F0FD" w14:textId="77777777" w:rsidR="003F7D4D" w:rsidRPr="002164F8" w:rsidRDefault="003F7D4D" w:rsidP="003F7D4D">
      <w:pPr>
        <w:numPr>
          <w:ilvl w:val="0"/>
          <w:numId w:val="1"/>
        </w:numPr>
        <w:shd w:val="clear" w:color="auto" w:fill="FFFFFF"/>
        <w:spacing w:before="100" w:beforeAutospacing="1" w:after="100" w:afterAutospacing="1"/>
        <w:rPr>
          <w:rFonts w:asciiTheme="minorHAnsi" w:eastAsia="Times New Roman" w:hAnsiTheme="minorHAnsi" w:cstheme="minorHAnsi"/>
          <w:color w:val="000000"/>
          <w:sz w:val="24"/>
          <w:szCs w:val="24"/>
          <w:lang w:eastAsia="tr-TR"/>
        </w:rPr>
      </w:pPr>
      <w:r w:rsidRPr="002164F8">
        <w:rPr>
          <w:rFonts w:asciiTheme="minorHAnsi" w:eastAsia="Times New Roman" w:hAnsiTheme="minorHAnsi" w:cstheme="minorHAnsi"/>
          <w:color w:val="000000"/>
          <w:sz w:val="24"/>
          <w:szCs w:val="24"/>
          <w:lang w:eastAsia="tr-TR"/>
        </w:rPr>
        <w:t xml:space="preserve">KAP bildirim şablonlarında aşağıda belirtilen geliştirmeler yapılmıştır: </w:t>
      </w:r>
    </w:p>
    <w:tbl>
      <w:tblPr>
        <w:tblW w:w="13608" w:type="dxa"/>
        <w:tblInd w:w="274" w:type="dxa"/>
        <w:tblCellMar>
          <w:left w:w="0" w:type="dxa"/>
          <w:right w:w="0" w:type="dxa"/>
        </w:tblCellMar>
        <w:tblLook w:val="04A0" w:firstRow="1" w:lastRow="0" w:firstColumn="1" w:lastColumn="0" w:noHBand="0" w:noVBand="1"/>
      </w:tblPr>
      <w:tblGrid>
        <w:gridCol w:w="460"/>
        <w:gridCol w:w="1950"/>
        <w:gridCol w:w="1984"/>
        <w:gridCol w:w="9214"/>
      </w:tblGrid>
      <w:tr w:rsidR="00E83769" w14:paraId="34A33533" w14:textId="77777777" w:rsidTr="00E83769">
        <w:tc>
          <w:tcPr>
            <w:tcW w:w="4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79EF10E" w14:textId="77777777" w:rsidR="00E83769" w:rsidRPr="002164F8" w:rsidRDefault="00E83769">
            <w:pPr>
              <w:pStyle w:val="ListeParagraf"/>
              <w:spacing w:before="120" w:after="120"/>
              <w:ind w:left="0"/>
              <w:jc w:val="both"/>
              <w:rPr>
                <w:b/>
                <w:bCs/>
                <w:sz w:val="20"/>
                <w:szCs w:val="20"/>
              </w:rPr>
            </w:pPr>
            <w:r w:rsidRPr="002164F8">
              <w:rPr>
                <w:b/>
                <w:bCs/>
                <w:sz w:val="20"/>
                <w:szCs w:val="20"/>
              </w:rPr>
              <w:t>No</w:t>
            </w:r>
          </w:p>
        </w:tc>
        <w:tc>
          <w:tcPr>
            <w:tcW w:w="195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7926314" w14:textId="77777777" w:rsidR="00E83769" w:rsidRPr="002164F8" w:rsidRDefault="00E83769">
            <w:pPr>
              <w:pStyle w:val="ListeParagraf"/>
              <w:spacing w:before="120" w:after="120"/>
              <w:ind w:left="0"/>
              <w:jc w:val="both"/>
              <w:rPr>
                <w:b/>
                <w:bCs/>
                <w:sz w:val="20"/>
                <w:szCs w:val="20"/>
              </w:rPr>
            </w:pPr>
            <w:r w:rsidRPr="002164F8">
              <w:rPr>
                <w:b/>
                <w:bCs/>
                <w:color w:val="000000"/>
                <w:sz w:val="20"/>
                <w:szCs w:val="20"/>
              </w:rPr>
              <w:t xml:space="preserve">Şablon Adı </w:t>
            </w:r>
          </w:p>
        </w:tc>
        <w:tc>
          <w:tcPr>
            <w:tcW w:w="19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5EFCA8F" w14:textId="72FD991E" w:rsidR="00E83769" w:rsidRPr="002164F8" w:rsidRDefault="00E83769">
            <w:pPr>
              <w:pStyle w:val="ListeParagraf"/>
              <w:spacing w:before="120" w:after="120"/>
              <w:ind w:left="0"/>
              <w:jc w:val="both"/>
              <w:rPr>
                <w:b/>
                <w:bCs/>
                <w:sz w:val="20"/>
                <w:szCs w:val="20"/>
              </w:rPr>
            </w:pPr>
            <w:r w:rsidRPr="002164F8">
              <w:rPr>
                <w:b/>
                <w:bCs/>
                <w:color w:val="000000"/>
                <w:sz w:val="20"/>
                <w:szCs w:val="20"/>
              </w:rPr>
              <w:t>B</w:t>
            </w:r>
            <w:r w:rsidR="007D19A0">
              <w:rPr>
                <w:b/>
                <w:bCs/>
                <w:color w:val="000000"/>
                <w:sz w:val="20"/>
                <w:szCs w:val="20"/>
              </w:rPr>
              <w:t>İ</w:t>
            </w:r>
            <w:r w:rsidRPr="002164F8">
              <w:rPr>
                <w:b/>
                <w:bCs/>
                <w:color w:val="000000"/>
                <w:sz w:val="20"/>
                <w:szCs w:val="20"/>
              </w:rPr>
              <w:t>Y’de Yer Aldığı Üst Menünün Adı</w:t>
            </w:r>
          </w:p>
        </w:tc>
        <w:tc>
          <w:tcPr>
            <w:tcW w:w="921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68D452A" w14:textId="77777777" w:rsidR="00E83769" w:rsidRPr="002164F8" w:rsidRDefault="00E83769">
            <w:pPr>
              <w:pStyle w:val="ListeParagraf"/>
              <w:spacing w:before="120" w:after="120"/>
              <w:ind w:left="0"/>
              <w:jc w:val="both"/>
              <w:rPr>
                <w:b/>
                <w:bCs/>
                <w:sz w:val="20"/>
                <w:szCs w:val="20"/>
              </w:rPr>
            </w:pPr>
            <w:r w:rsidRPr="002164F8">
              <w:rPr>
                <w:b/>
                <w:bCs/>
                <w:color w:val="000000"/>
                <w:sz w:val="20"/>
                <w:szCs w:val="20"/>
              </w:rPr>
              <w:t>Açıklama</w:t>
            </w:r>
          </w:p>
        </w:tc>
      </w:tr>
      <w:tr w:rsidR="00E83769" w14:paraId="1E795CB4" w14:textId="77777777" w:rsidTr="00E83769">
        <w:tc>
          <w:tcPr>
            <w:tcW w:w="46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743CB04E" w14:textId="77777777" w:rsidR="00E83769" w:rsidRPr="002164F8" w:rsidRDefault="00E83769">
            <w:pPr>
              <w:pStyle w:val="ListeParagraf"/>
              <w:spacing w:before="120" w:after="120"/>
              <w:ind w:left="0"/>
              <w:jc w:val="both"/>
              <w:rPr>
                <w:sz w:val="20"/>
                <w:szCs w:val="20"/>
              </w:rPr>
            </w:pPr>
            <w:r w:rsidRPr="002164F8">
              <w:rPr>
                <w:color w:val="000000"/>
                <w:sz w:val="20"/>
                <w:szCs w:val="20"/>
              </w:rPr>
              <w:t>1</w:t>
            </w:r>
          </w:p>
        </w:tc>
        <w:tc>
          <w:tcPr>
            <w:tcW w:w="195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574484D0" w14:textId="77777777" w:rsidR="00E83769" w:rsidRPr="002164F8" w:rsidRDefault="00E83769">
            <w:pPr>
              <w:pStyle w:val="ListeParagraf"/>
              <w:spacing w:before="120" w:after="120"/>
              <w:ind w:left="0"/>
              <w:jc w:val="both"/>
              <w:rPr>
                <w:sz w:val="20"/>
                <w:szCs w:val="20"/>
              </w:rPr>
            </w:pPr>
            <w:r w:rsidRPr="002164F8">
              <w:rPr>
                <w:color w:val="000000"/>
                <w:sz w:val="20"/>
                <w:szCs w:val="20"/>
              </w:rPr>
              <w:t>Kar Payı Dağıtım İşlemlerine İlişkin Bildirim</w:t>
            </w:r>
          </w:p>
        </w:tc>
        <w:tc>
          <w:tcPr>
            <w:tcW w:w="198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7AA80FBA" w14:textId="77777777" w:rsidR="00E83769" w:rsidRPr="002164F8" w:rsidRDefault="00E83769">
            <w:pPr>
              <w:pStyle w:val="ListeParagraf"/>
              <w:spacing w:before="120" w:after="120"/>
              <w:ind w:left="0"/>
              <w:jc w:val="both"/>
              <w:rPr>
                <w:sz w:val="20"/>
                <w:szCs w:val="20"/>
              </w:rPr>
            </w:pPr>
            <w:r w:rsidRPr="002164F8">
              <w:rPr>
                <w:color w:val="000000"/>
                <w:sz w:val="20"/>
                <w:szCs w:val="20"/>
              </w:rPr>
              <w:t>Hak Kullanım İşlemleri</w:t>
            </w:r>
          </w:p>
        </w:tc>
        <w:tc>
          <w:tcPr>
            <w:tcW w:w="921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1BA8AD2A" w14:textId="46DFFF93" w:rsidR="00E83769" w:rsidRPr="00E83769" w:rsidRDefault="00E83769" w:rsidP="00E83769">
            <w:pPr>
              <w:pStyle w:val="ListeParagraf"/>
              <w:numPr>
                <w:ilvl w:val="0"/>
                <w:numId w:val="6"/>
              </w:numPr>
              <w:spacing w:before="120" w:after="120"/>
              <w:ind w:left="319"/>
              <w:jc w:val="both"/>
              <w:rPr>
                <w:sz w:val="20"/>
                <w:szCs w:val="20"/>
              </w:rPr>
            </w:pPr>
            <w:r w:rsidRPr="00E83769">
              <w:rPr>
                <w:color w:val="000000"/>
                <w:sz w:val="20"/>
                <w:szCs w:val="20"/>
              </w:rPr>
              <w:t>Kar Payı Dağıtım Tablosu’nun doldurulması zorunlu hale getirilmiştir. Tabloda yer alan Kâr Payı Oranları Tablosu’na “TOPLAM DAĞITILAN KÂR PAYI / NET DAĞITILABİLİR DÖNEM KÂRI (%)” oranının hesaplanmasına yönelik "Yalnızca SPK düzenlemeleri uyarınca hazırlanan finansal tablolardaki rakamlar üzerinden hesaplanması gerekmektedir." uyarısı eklenmiştir. Tabloya aşağıda yer alan kontroller konulmuştur.</w:t>
            </w:r>
          </w:p>
          <w:p w14:paraId="3107EF0A" w14:textId="77777777" w:rsidR="00E83769" w:rsidRPr="002164F8" w:rsidRDefault="00E83769" w:rsidP="009735C8">
            <w:pPr>
              <w:numPr>
                <w:ilvl w:val="0"/>
                <w:numId w:val="2"/>
              </w:numPr>
              <w:spacing w:before="120" w:after="120"/>
              <w:jc w:val="both"/>
              <w:rPr>
                <w:rFonts w:eastAsia="Times New Roman"/>
                <w:sz w:val="20"/>
                <w:szCs w:val="20"/>
              </w:rPr>
            </w:pPr>
            <w:r w:rsidRPr="002164F8">
              <w:rPr>
                <w:rFonts w:eastAsia="Times New Roman"/>
                <w:color w:val="000000"/>
                <w:sz w:val="20"/>
                <w:szCs w:val="20"/>
              </w:rPr>
              <w:t>Bu tablodaki değerler ile şablona ISIN bazında girilen kâr payı rakamları arasında tutarlılık kontrolü</w:t>
            </w:r>
          </w:p>
          <w:p w14:paraId="186A10C0" w14:textId="77777777" w:rsidR="00E83769" w:rsidRPr="002164F8" w:rsidRDefault="00E83769" w:rsidP="009735C8">
            <w:pPr>
              <w:numPr>
                <w:ilvl w:val="0"/>
                <w:numId w:val="2"/>
              </w:numPr>
              <w:spacing w:before="120" w:after="120"/>
              <w:jc w:val="both"/>
              <w:rPr>
                <w:rFonts w:eastAsia="Times New Roman"/>
                <w:sz w:val="20"/>
                <w:szCs w:val="20"/>
              </w:rPr>
            </w:pPr>
            <w:r w:rsidRPr="002164F8">
              <w:rPr>
                <w:rFonts w:eastAsia="Times New Roman"/>
                <w:color w:val="000000"/>
                <w:sz w:val="20"/>
                <w:szCs w:val="20"/>
              </w:rPr>
              <w:t>Dağıtılacak Kâr payı tutarları açısından SPK’ya göre kolonu ile Yasal Kayıtlara göre kolonu arasında tutarlılık kontrolü</w:t>
            </w:r>
          </w:p>
          <w:p w14:paraId="38115F7B" w14:textId="77777777" w:rsidR="00E83769" w:rsidRPr="002164F8" w:rsidRDefault="00E83769" w:rsidP="009735C8">
            <w:pPr>
              <w:numPr>
                <w:ilvl w:val="0"/>
                <w:numId w:val="2"/>
              </w:numPr>
              <w:spacing w:before="120" w:after="120"/>
              <w:jc w:val="both"/>
              <w:rPr>
                <w:rFonts w:eastAsia="Times New Roman"/>
                <w:sz w:val="20"/>
                <w:szCs w:val="20"/>
              </w:rPr>
            </w:pPr>
            <w:r w:rsidRPr="002164F8">
              <w:rPr>
                <w:rFonts w:eastAsia="Times New Roman"/>
                <w:color w:val="000000"/>
                <w:sz w:val="20"/>
                <w:szCs w:val="20"/>
              </w:rPr>
              <w:t>İlgili döneme ilişkin Kâr payı avansı dağıtım söz konusu ise tablonun “Yıl İçinde Ödenen Kâr Payı Avansı” alanının da dolu olması kontrolü</w:t>
            </w:r>
          </w:p>
          <w:p w14:paraId="0D88C156" w14:textId="77777777" w:rsidR="00E83769" w:rsidRPr="002164F8" w:rsidRDefault="00E83769" w:rsidP="009735C8">
            <w:pPr>
              <w:numPr>
                <w:ilvl w:val="0"/>
                <w:numId w:val="2"/>
              </w:numPr>
              <w:spacing w:before="120" w:after="120"/>
              <w:jc w:val="both"/>
              <w:rPr>
                <w:rFonts w:eastAsia="Times New Roman"/>
                <w:sz w:val="20"/>
                <w:szCs w:val="20"/>
              </w:rPr>
            </w:pPr>
            <w:r w:rsidRPr="002164F8">
              <w:rPr>
                <w:rFonts w:eastAsia="Times New Roman"/>
                <w:color w:val="000000"/>
                <w:sz w:val="20"/>
                <w:szCs w:val="20"/>
              </w:rPr>
              <w:t>Ortaklara Birinci Kâr Payı (Bedelsiz) alanının şablonda yer alan "Pay Biçiminde Dağıtılacak Kâr Payı Tutarı(TL)" alanı ile eşit olduğunun kontrolü</w:t>
            </w:r>
          </w:p>
          <w:p w14:paraId="526DB6F0" w14:textId="3D1CA1E5" w:rsidR="00E83769" w:rsidRDefault="00E83769" w:rsidP="00E83769">
            <w:pPr>
              <w:pStyle w:val="ListeParagraf"/>
              <w:numPr>
                <w:ilvl w:val="0"/>
                <w:numId w:val="6"/>
              </w:numPr>
              <w:spacing w:before="120" w:after="120"/>
              <w:ind w:left="319"/>
              <w:jc w:val="both"/>
              <w:rPr>
                <w:color w:val="000000"/>
                <w:sz w:val="20"/>
                <w:szCs w:val="20"/>
              </w:rPr>
            </w:pPr>
            <w:r w:rsidRPr="002164F8">
              <w:rPr>
                <w:color w:val="000000"/>
                <w:sz w:val="20"/>
                <w:szCs w:val="20"/>
              </w:rPr>
              <w:t xml:space="preserve"> Genel kurul sonucu bildirimleri sonrasında yapılan kâr payı bildirimlerinde, nakit kâr payı ödenmesi söz konusu ise Kesinleşen Nakit Kâr Payı Hak Kullanım Tarihi alanının dolu olması, tarih genel kurulda belirlenmedi ise "Genel kurulca, nakit kâr payı dağıtım tarihinin/tarihlerinin belirlenmesi konusunda şirket yönetimi yetkilendirilmiştir" şeklindeki onay kutusunun işaretlemesi zorunlu hale getirilmiştir. Onay kutusunun işaretlenmesi durumunda bu bilgi KAP’ta da yayınlanacaktır.  </w:t>
            </w:r>
          </w:p>
          <w:p w14:paraId="7BD4781A" w14:textId="477C1435" w:rsidR="00E83769" w:rsidRDefault="00E83769">
            <w:pPr>
              <w:pStyle w:val="ListeParagraf"/>
              <w:spacing w:before="120" w:after="120"/>
              <w:ind w:left="0"/>
              <w:jc w:val="both"/>
              <w:rPr>
                <w:sz w:val="20"/>
                <w:szCs w:val="20"/>
              </w:rPr>
            </w:pPr>
          </w:p>
          <w:p w14:paraId="7E201E86" w14:textId="314002C0" w:rsidR="00E83769" w:rsidRDefault="00E83769">
            <w:pPr>
              <w:pStyle w:val="ListeParagraf"/>
              <w:spacing w:before="120" w:after="120"/>
              <w:ind w:left="0"/>
              <w:jc w:val="both"/>
              <w:rPr>
                <w:sz w:val="20"/>
                <w:szCs w:val="20"/>
              </w:rPr>
            </w:pPr>
          </w:p>
          <w:p w14:paraId="7FB65431" w14:textId="77777777" w:rsidR="00E83769" w:rsidRPr="002164F8" w:rsidRDefault="00E83769">
            <w:pPr>
              <w:pStyle w:val="ListeParagraf"/>
              <w:spacing w:before="120" w:after="120"/>
              <w:ind w:left="0"/>
              <w:jc w:val="both"/>
              <w:rPr>
                <w:sz w:val="20"/>
                <w:szCs w:val="20"/>
              </w:rPr>
            </w:pPr>
          </w:p>
          <w:p w14:paraId="35D744DB" w14:textId="0A2A0679" w:rsidR="00E83769" w:rsidRPr="002164F8" w:rsidRDefault="00E83769">
            <w:pPr>
              <w:pStyle w:val="NormalWeb"/>
              <w:shd w:val="clear" w:color="auto" w:fill="FFFFFF"/>
              <w:spacing w:before="150" w:beforeAutospacing="0" w:after="0" w:afterAutospacing="0"/>
              <w:jc w:val="both"/>
              <w:rPr>
                <w:rFonts w:ascii="Calibri" w:hAnsi="Calibri" w:cs="Calibri"/>
                <w:sz w:val="20"/>
                <w:szCs w:val="20"/>
                <w:lang w:eastAsia="en-US"/>
              </w:rPr>
            </w:pPr>
          </w:p>
        </w:tc>
      </w:tr>
      <w:tr w:rsidR="00E83769" w14:paraId="4F4F69E7" w14:textId="77777777" w:rsidTr="00E83769">
        <w:tc>
          <w:tcPr>
            <w:tcW w:w="460" w:type="dxa"/>
            <w:tcBorders>
              <w:top w:val="single" w:sz="4"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6F9DED20" w14:textId="592C90EC" w:rsidR="00E83769" w:rsidRPr="002164F8" w:rsidRDefault="00E83769" w:rsidP="002164F8">
            <w:pPr>
              <w:pStyle w:val="ListeParagraf"/>
              <w:spacing w:before="120" w:after="120"/>
              <w:ind w:left="0"/>
              <w:jc w:val="both"/>
              <w:rPr>
                <w:sz w:val="20"/>
                <w:szCs w:val="20"/>
              </w:rPr>
            </w:pPr>
            <w:r w:rsidRPr="002164F8">
              <w:rPr>
                <w:b/>
                <w:bCs/>
                <w:sz w:val="20"/>
                <w:szCs w:val="20"/>
              </w:rPr>
              <w:lastRenderedPageBreak/>
              <w:t>No</w:t>
            </w:r>
          </w:p>
        </w:tc>
        <w:tc>
          <w:tcPr>
            <w:tcW w:w="1950" w:type="dxa"/>
            <w:tcBorders>
              <w:top w:val="single" w:sz="4"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189EE9DA" w14:textId="1DC093CA" w:rsidR="00E83769" w:rsidRPr="002164F8" w:rsidRDefault="00E83769" w:rsidP="002164F8">
            <w:pPr>
              <w:pStyle w:val="ListeParagraf"/>
              <w:spacing w:before="120" w:after="120"/>
              <w:ind w:left="0"/>
              <w:jc w:val="both"/>
              <w:rPr>
                <w:sz w:val="20"/>
                <w:szCs w:val="20"/>
              </w:rPr>
            </w:pPr>
            <w:r w:rsidRPr="002164F8">
              <w:rPr>
                <w:b/>
                <w:bCs/>
                <w:color w:val="000000"/>
                <w:sz w:val="20"/>
                <w:szCs w:val="20"/>
              </w:rPr>
              <w:t xml:space="preserve">Şablon Adı </w:t>
            </w:r>
          </w:p>
        </w:tc>
        <w:tc>
          <w:tcPr>
            <w:tcW w:w="1984" w:type="dxa"/>
            <w:tcBorders>
              <w:top w:val="single" w:sz="4"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237E022D" w14:textId="2D627D9D" w:rsidR="00E83769" w:rsidRPr="002164F8" w:rsidRDefault="00E83769" w:rsidP="002164F8">
            <w:pPr>
              <w:pStyle w:val="ListeParagraf"/>
              <w:spacing w:before="120" w:after="120"/>
              <w:ind w:left="0"/>
              <w:jc w:val="both"/>
              <w:rPr>
                <w:sz w:val="20"/>
                <w:szCs w:val="20"/>
              </w:rPr>
            </w:pPr>
            <w:r w:rsidRPr="002164F8">
              <w:rPr>
                <w:b/>
                <w:bCs/>
                <w:color w:val="000000"/>
                <w:sz w:val="20"/>
                <w:szCs w:val="20"/>
              </w:rPr>
              <w:t>B</w:t>
            </w:r>
            <w:r w:rsidR="007D19A0">
              <w:rPr>
                <w:b/>
                <w:bCs/>
                <w:color w:val="000000"/>
                <w:sz w:val="20"/>
                <w:szCs w:val="20"/>
              </w:rPr>
              <w:t>İ</w:t>
            </w:r>
            <w:r w:rsidRPr="002164F8">
              <w:rPr>
                <w:b/>
                <w:bCs/>
                <w:color w:val="000000"/>
                <w:sz w:val="20"/>
                <w:szCs w:val="20"/>
              </w:rPr>
              <w:t>Y’de Yer Aldığı Üst Menünün Adı</w:t>
            </w:r>
          </w:p>
        </w:tc>
        <w:tc>
          <w:tcPr>
            <w:tcW w:w="9214" w:type="dxa"/>
            <w:tcBorders>
              <w:top w:val="single" w:sz="4"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384F251C" w14:textId="109ACA86" w:rsidR="00E83769" w:rsidRPr="002164F8" w:rsidRDefault="00E83769" w:rsidP="002164F8">
            <w:pPr>
              <w:pStyle w:val="ListeParagraf"/>
              <w:spacing w:before="120" w:after="120"/>
              <w:ind w:left="0"/>
              <w:jc w:val="both"/>
              <w:rPr>
                <w:color w:val="000000"/>
                <w:sz w:val="20"/>
                <w:szCs w:val="20"/>
              </w:rPr>
            </w:pPr>
            <w:r w:rsidRPr="002164F8">
              <w:rPr>
                <w:b/>
                <w:bCs/>
                <w:color w:val="000000"/>
                <w:sz w:val="20"/>
                <w:szCs w:val="20"/>
              </w:rPr>
              <w:t>Açıklama</w:t>
            </w:r>
          </w:p>
        </w:tc>
      </w:tr>
      <w:tr w:rsidR="00E83769" w14:paraId="668DA3D5" w14:textId="77777777" w:rsidTr="00E83769">
        <w:tc>
          <w:tcPr>
            <w:tcW w:w="4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B9D02C4" w14:textId="77777777" w:rsidR="00E83769" w:rsidRPr="002164F8" w:rsidRDefault="00E83769" w:rsidP="002164F8">
            <w:pPr>
              <w:pStyle w:val="ListeParagraf"/>
              <w:spacing w:before="120" w:after="120"/>
              <w:ind w:left="0"/>
              <w:jc w:val="both"/>
              <w:rPr>
                <w:sz w:val="20"/>
                <w:szCs w:val="20"/>
              </w:rPr>
            </w:pPr>
          </w:p>
        </w:tc>
        <w:tc>
          <w:tcPr>
            <w:tcW w:w="1950" w:type="dxa"/>
            <w:tcBorders>
              <w:top w:val="nil"/>
              <w:left w:val="nil"/>
              <w:bottom w:val="single" w:sz="4" w:space="0" w:color="auto"/>
              <w:right w:val="single" w:sz="8" w:space="0" w:color="auto"/>
            </w:tcBorders>
            <w:tcMar>
              <w:top w:w="0" w:type="dxa"/>
              <w:left w:w="108" w:type="dxa"/>
              <w:bottom w:w="0" w:type="dxa"/>
              <w:right w:w="108" w:type="dxa"/>
            </w:tcMar>
          </w:tcPr>
          <w:p w14:paraId="217FD05A" w14:textId="229EC078" w:rsidR="00E83769" w:rsidRPr="002164F8" w:rsidRDefault="00E83769" w:rsidP="002164F8">
            <w:pPr>
              <w:pStyle w:val="ListeParagraf"/>
              <w:spacing w:before="120" w:after="120"/>
              <w:ind w:left="0"/>
              <w:jc w:val="both"/>
              <w:rPr>
                <w:sz w:val="20"/>
                <w:szCs w:val="20"/>
              </w:rPr>
            </w:pPr>
            <w:r>
              <w:rPr>
                <w:sz w:val="20"/>
                <w:szCs w:val="20"/>
              </w:rPr>
              <w:t>(Devam)</w:t>
            </w:r>
          </w:p>
        </w:tc>
        <w:tc>
          <w:tcPr>
            <w:tcW w:w="1984" w:type="dxa"/>
            <w:tcBorders>
              <w:top w:val="nil"/>
              <w:left w:val="nil"/>
              <w:bottom w:val="single" w:sz="4" w:space="0" w:color="auto"/>
              <w:right w:val="single" w:sz="8" w:space="0" w:color="auto"/>
            </w:tcBorders>
            <w:tcMar>
              <w:top w:w="0" w:type="dxa"/>
              <w:left w:w="108" w:type="dxa"/>
              <w:bottom w:w="0" w:type="dxa"/>
              <w:right w:w="108" w:type="dxa"/>
            </w:tcMar>
          </w:tcPr>
          <w:p w14:paraId="3F68DA8C" w14:textId="77777777" w:rsidR="00E83769" w:rsidRPr="002164F8" w:rsidRDefault="00E83769" w:rsidP="002164F8">
            <w:pPr>
              <w:pStyle w:val="ListeParagraf"/>
              <w:spacing w:before="120" w:after="120"/>
              <w:ind w:left="0"/>
              <w:jc w:val="both"/>
              <w:rPr>
                <w:sz w:val="20"/>
                <w:szCs w:val="20"/>
              </w:rPr>
            </w:pPr>
          </w:p>
        </w:tc>
        <w:tc>
          <w:tcPr>
            <w:tcW w:w="9214" w:type="dxa"/>
            <w:tcBorders>
              <w:top w:val="nil"/>
              <w:left w:val="nil"/>
              <w:bottom w:val="single" w:sz="4" w:space="0" w:color="auto"/>
              <w:right w:val="single" w:sz="8" w:space="0" w:color="auto"/>
            </w:tcBorders>
            <w:tcMar>
              <w:top w:w="0" w:type="dxa"/>
              <w:left w:w="108" w:type="dxa"/>
              <w:bottom w:w="0" w:type="dxa"/>
              <w:right w:w="108" w:type="dxa"/>
            </w:tcMar>
          </w:tcPr>
          <w:p w14:paraId="2C85DA7D" w14:textId="617D2F87" w:rsidR="00E83769" w:rsidRPr="00E83769" w:rsidRDefault="00E83769" w:rsidP="00E83769">
            <w:pPr>
              <w:pStyle w:val="ListeParagraf"/>
              <w:numPr>
                <w:ilvl w:val="0"/>
                <w:numId w:val="6"/>
              </w:numPr>
              <w:spacing w:before="120" w:after="120"/>
              <w:ind w:left="319"/>
              <w:jc w:val="both"/>
              <w:rPr>
                <w:color w:val="000000"/>
                <w:sz w:val="20"/>
                <w:szCs w:val="20"/>
              </w:rPr>
            </w:pPr>
            <w:r w:rsidRPr="002164F8">
              <w:rPr>
                <w:color w:val="000000"/>
                <w:sz w:val="20"/>
                <w:szCs w:val="20"/>
              </w:rPr>
              <w:t xml:space="preserve">Genel kurul sonucu bildirimleri sonrasında yapılan kâr payı bildirimlerinde, yapılan bildirimde yer alan bilgiler ile genel kurul tutanağında yer alan bilgilerin tutarlı olduğu yönünde bir onay alınacaktır. Tutarlılık onayı verilmeden bildirim ilerletilemeyecektir. </w:t>
            </w:r>
          </w:p>
          <w:p w14:paraId="261BB9FD" w14:textId="5CFBDEB7" w:rsidR="00E83769" w:rsidRPr="00E83769" w:rsidRDefault="00E83769" w:rsidP="00E83769">
            <w:pPr>
              <w:pStyle w:val="ListeParagraf"/>
              <w:numPr>
                <w:ilvl w:val="0"/>
                <w:numId w:val="8"/>
              </w:numPr>
              <w:spacing w:before="120" w:after="120"/>
              <w:ind w:left="319"/>
              <w:jc w:val="both"/>
              <w:rPr>
                <w:color w:val="000000"/>
                <w:sz w:val="20"/>
                <w:szCs w:val="20"/>
              </w:rPr>
            </w:pPr>
            <w:r w:rsidRPr="002164F8">
              <w:rPr>
                <w:color w:val="000000"/>
                <w:sz w:val="20"/>
                <w:szCs w:val="20"/>
              </w:rPr>
              <w:t>Kesinleşmiş Nakit Kâr Payı Hak Kullanım Tarihi alanına,</w:t>
            </w:r>
          </w:p>
          <w:p w14:paraId="10BAEAD1" w14:textId="77777777" w:rsidR="00E83769" w:rsidRPr="00E83769" w:rsidRDefault="00E83769" w:rsidP="002164F8">
            <w:pPr>
              <w:numPr>
                <w:ilvl w:val="0"/>
                <w:numId w:val="3"/>
              </w:numPr>
              <w:spacing w:before="120" w:after="120"/>
              <w:jc w:val="both"/>
              <w:rPr>
                <w:color w:val="000000"/>
                <w:sz w:val="20"/>
                <w:szCs w:val="20"/>
              </w:rPr>
            </w:pPr>
            <w:r w:rsidRPr="00E83769">
              <w:rPr>
                <w:color w:val="000000"/>
                <w:sz w:val="20"/>
                <w:szCs w:val="20"/>
              </w:rPr>
              <w:t xml:space="preserve">Tam iş günlerinde 16:30’dan, yarım iş günlerinde 12:00’den sonra bir sonraki iş gününün tarihi </w:t>
            </w:r>
          </w:p>
          <w:p w14:paraId="6DCF0779" w14:textId="77777777" w:rsidR="00E83769" w:rsidRPr="00E83769" w:rsidRDefault="00E83769" w:rsidP="002164F8">
            <w:pPr>
              <w:numPr>
                <w:ilvl w:val="0"/>
                <w:numId w:val="3"/>
              </w:numPr>
              <w:spacing w:before="120" w:after="120"/>
              <w:jc w:val="both"/>
              <w:rPr>
                <w:color w:val="000000"/>
                <w:sz w:val="20"/>
                <w:szCs w:val="20"/>
              </w:rPr>
            </w:pPr>
            <w:r w:rsidRPr="00E83769">
              <w:rPr>
                <w:color w:val="000000"/>
                <w:sz w:val="20"/>
                <w:szCs w:val="20"/>
              </w:rPr>
              <w:t xml:space="preserve">Tatil günü, yarım iş günü, bugününün tarihi veya geçmiş bir günün tarihi </w:t>
            </w:r>
          </w:p>
          <w:p w14:paraId="3A5EABF6" w14:textId="77777777" w:rsidR="00E83769" w:rsidRPr="00E83769" w:rsidRDefault="00E83769" w:rsidP="002164F8">
            <w:pPr>
              <w:pStyle w:val="ListeParagraf"/>
              <w:spacing w:before="120" w:after="120"/>
              <w:ind w:left="0"/>
              <w:jc w:val="both"/>
              <w:rPr>
                <w:color w:val="000000"/>
                <w:sz w:val="20"/>
                <w:szCs w:val="20"/>
              </w:rPr>
            </w:pPr>
            <w:r w:rsidRPr="002164F8">
              <w:rPr>
                <w:color w:val="000000"/>
                <w:sz w:val="20"/>
                <w:szCs w:val="20"/>
              </w:rPr>
              <w:t>girilemeyecektir.</w:t>
            </w:r>
          </w:p>
          <w:p w14:paraId="5CF7D1B6" w14:textId="2A383E12" w:rsidR="00E83769" w:rsidRPr="00E83769" w:rsidRDefault="00E83769" w:rsidP="00E83769">
            <w:pPr>
              <w:pStyle w:val="ListeParagraf"/>
              <w:numPr>
                <w:ilvl w:val="0"/>
                <w:numId w:val="9"/>
              </w:numPr>
              <w:spacing w:before="120" w:after="120"/>
              <w:ind w:left="461"/>
              <w:jc w:val="both"/>
              <w:rPr>
                <w:color w:val="000000"/>
                <w:sz w:val="20"/>
                <w:szCs w:val="20"/>
              </w:rPr>
            </w:pPr>
            <w:r w:rsidRPr="002164F8">
              <w:rPr>
                <w:color w:val="000000"/>
                <w:sz w:val="20"/>
                <w:szCs w:val="20"/>
              </w:rPr>
              <w:t>Teklif Edilecek Nakit Kâr Payı Hak Kullanım Tarihi alanına Genel Kurul Tarihi, tatil günü veya yarım iş günü girilemeyecektir.</w:t>
            </w:r>
            <w:r w:rsidRPr="00E83769">
              <w:rPr>
                <w:color w:val="000000"/>
                <w:sz w:val="20"/>
                <w:szCs w:val="20"/>
              </w:rPr>
              <w:t xml:space="preserve"> </w:t>
            </w:r>
          </w:p>
          <w:p w14:paraId="2A3508B0" w14:textId="0A1B684A" w:rsidR="00E83769" w:rsidRPr="00E83769" w:rsidRDefault="00E83769" w:rsidP="00E83769">
            <w:pPr>
              <w:pStyle w:val="ListeParagraf"/>
              <w:numPr>
                <w:ilvl w:val="0"/>
                <w:numId w:val="9"/>
              </w:numPr>
              <w:spacing w:before="120" w:after="120"/>
              <w:ind w:left="461"/>
              <w:jc w:val="both"/>
              <w:rPr>
                <w:color w:val="000000"/>
                <w:sz w:val="20"/>
                <w:szCs w:val="20"/>
              </w:rPr>
            </w:pPr>
            <w:r w:rsidRPr="002164F8">
              <w:rPr>
                <w:color w:val="000000"/>
                <w:sz w:val="20"/>
                <w:szCs w:val="20"/>
              </w:rPr>
              <w:t>Gruplar arasında farklı kâr payı oranları söz konusu ise "Esas Sözleşmenize göre gruplar arasında Kâr payı imtiyazı söz konusu değilse "1 TL Nominal Değerli Paya Ödenecek Nakit Kâr Payı - Brüt(TL)" tutarları eşit olmalıdır. Devam etmek istiyor musunuz?" uyarısı konulmuştur.</w:t>
            </w:r>
          </w:p>
          <w:p w14:paraId="14B4AB1C" w14:textId="4AB20138" w:rsidR="00E83769" w:rsidRDefault="00E83769" w:rsidP="00E83769">
            <w:pPr>
              <w:pStyle w:val="ListeParagraf"/>
              <w:numPr>
                <w:ilvl w:val="0"/>
                <w:numId w:val="9"/>
              </w:numPr>
              <w:spacing w:before="120" w:after="120"/>
              <w:ind w:left="461"/>
              <w:jc w:val="both"/>
              <w:rPr>
                <w:color w:val="000000"/>
                <w:sz w:val="20"/>
                <w:szCs w:val="20"/>
              </w:rPr>
            </w:pPr>
            <w:r w:rsidRPr="002164F8">
              <w:rPr>
                <w:color w:val="000000"/>
                <w:sz w:val="20"/>
                <w:szCs w:val="20"/>
              </w:rPr>
              <w:t>Şablonun imzalanması adımına, şablona giriş yapılan bilgilerin, Genel kurul tutanağı ve/veya ek yapılan diğer dokümanlarda yer alan bilgiler, Ek Açıklamalar alanında yer alan bilgiler, Kâr Payı Dağıtım Tablosu'nda yer alan bilgiler ve Esas Sözleşmede yer alan kâr payı dağıtım esasları ile tutarlı olduğunun kabulüne ilişkin bir beyan konulmuştur.</w:t>
            </w:r>
          </w:p>
          <w:p w14:paraId="2F28DA65" w14:textId="77777777" w:rsidR="00E83769" w:rsidRDefault="00E83769" w:rsidP="002164F8">
            <w:pPr>
              <w:pStyle w:val="ListeParagraf"/>
              <w:spacing w:before="120" w:after="120"/>
              <w:ind w:left="0"/>
              <w:jc w:val="both"/>
              <w:rPr>
                <w:color w:val="000000"/>
                <w:sz w:val="20"/>
                <w:szCs w:val="20"/>
              </w:rPr>
            </w:pPr>
          </w:p>
          <w:p w14:paraId="7082770B" w14:textId="77777777" w:rsidR="00E83769" w:rsidRDefault="00E83769" w:rsidP="002164F8">
            <w:pPr>
              <w:pStyle w:val="ListeParagraf"/>
              <w:spacing w:before="120" w:after="120"/>
              <w:ind w:left="0"/>
              <w:jc w:val="both"/>
              <w:rPr>
                <w:color w:val="000000"/>
                <w:sz w:val="20"/>
                <w:szCs w:val="20"/>
              </w:rPr>
            </w:pPr>
          </w:p>
          <w:p w14:paraId="0AF98E70" w14:textId="77777777" w:rsidR="00E83769" w:rsidRDefault="00E83769" w:rsidP="002164F8">
            <w:pPr>
              <w:pStyle w:val="ListeParagraf"/>
              <w:spacing w:before="120" w:after="120"/>
              <w:ind w:left="0"/>
              <w:jc w:val="both"/>
              <w:rPr>
                <w:color w:val="000000"/>
                <w:sz w:val="20"/>
                <w:szCs w:val="20"/>
              </w:rPr>
            </w:pPr>
          </w:p>
          <w:p w14:paraId="216818E8" w14:textId="77777777" w:rsidR="00E83769" w:rsidRDefault="00E83769" w:rsidP="002164F8">
            <w:pPr>
              <w:pStyle w:val="ListeParagraf"/>
              <w:spacing w:before="120" w:after="120"/>
              <w:ind w:left="0"/>
              <w:jc w:val="both"/>
              <w:rPr>
                <w:color w:val="000000"/>
                <w:sz w:val="20"/>
                <w:szCs w:val="20"/>
              </w:rPr>
            </w:pPr>
          </w:p>
          <w:p w14:paraId="08CEDA3D" w14:textId="77777777" w:rsidR="00E83769" w:rsidRDefault="00E83769" w:rsidP="002164F8">
            <w:pPr>
              <w:pStyle w:val="ListeParagraf"/>
              <w:spacing w:before="120" w:after="120"/>
              <w:ind w:left="0"/>
              <w:jc w:val="both"/>
              <w:rPr>
                <w:color w:val="000000"/>
                <w:sz w:val="20"/>
                <w:szCs w:val="20"/>
              </w:rPr>
            </w:pPr>
          </w:p>
          <w:p w14:paraId="05357FA1" w14:textId="77777777" w:rsidR="00E83769" w:rsidRPr="00E83769" w:rsidRDefault="00E83769" w:rsidP="002164F8">
            <w:pPr>
              <w:pStyle w:val="ListeParagraf"/>
              <w:spacing w:before="120" w:after="120"/>
              <w:ind w:left="0"/>
              <w:jc w:val="both"/>
              <w:rPr>
                <w:color w:val="000000"/>
                <w:sz w:val="20"/>
                <w:szCs w:val="20"/>
              </w:rPr>
            </w:pPr>
          </w:p>
          <w:p w14:paraId="450CFA63" w14:textId="77777777" w:rsidR="00E83769" w:rsidRPr="00E83769" w:rsidRDefault="00E83769" w:rsidP="002164F8">
            <w:pPr>
              <w:pStyle w:val="ListeParagraf"/>
              <w:spacing w:before="120" w:after="120"/>
              <w:ind w:left="0"/>
              <w:jc w:val="both"/>
              <w:rPr>
                <w:color w:val="000000"/>
                <w:sz w:val="20"/>
                <w:szCs w:val="20"/>
              </w:rPr>
            </w:pPr>
          </w:p>
          <w:p w14:paraId="529984EF" w14:textId="706DF2EA" w:rsidR="00E83769" w:rsidRPr="00E83769" w:rsidRDefault="00E83769" w:rsidP="002164F8">
            <w:pPr>
              <w:pStyle w:val="ListeParagraf"/>
              <w:spacing w:before="120" w:after="120"/>
              <w:ind w:left="0"/>
              <w:jc w:val="both"/>
              <w:rPr>
                <w:color w:val="000000"/>
                <w:sz w:val="20"/>
                <w:szCs w:val="20"/>
              </w:rPr>
            </w:pPr>
          </w:p>
        </w:tc>
      </w:tr>
      <w:tr w:rsidR="00E83769" w14:paraId="4635CBF2" w14:textId="77777777" w:rsidTr="00E83769">
        <w:tc>
          <w:tcPr>
            <w:tcW w:w="460" w:type="dxa"/>
            <w:tcBorders>
              <w:top w:val="single" w:sz="4"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375D2ED3" w14:textId="44C36718" w:rsidR="00E83769" w:rsidRPr="002164F8" w:rsidRDefault="00E83769" w:rsidP="002164F8">
            <w:pPr>
              <w:pStyle w:val="ListeParagraf"/>
              <w:spacing w:before="120" w:after="120"/>
              <w:ind w:left="0"/>
              <w:jc w:val="both"/>
              <w:rPr>
                <w:sz w:val="20"/>
                <w:szCs w:val="20"/>
              </w:rPr>
            </w:pPr>
            <w:r w:rsidRPr="002164F8">
              <w:rPr>
                <w:b/>
                <w:bCs/>
                <w:sz w:val="20"/>
                <w:szCs w:val="20"/>
              </w:rPr>
              <w:lastRenderedPageBreak/>
              <w:t>No</w:t>
            </w:r>
          </w:p>
        </w:tc>
        <w:tc>
          <w:tcPr>
            <w:tcW w:w="1950" w:type="dxa"/>
            <w:tcBorders>
              <w:top w:val="single" w:sz="4"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0CDA1BB0" w14:textId="1756CF66" w:rsidR="00E83769" w:rsidRPr="002164F8" w:rsidRDefault="00E83769" w:rsidP="002164F8">
            <w:pPr>
              <w:pStyle w:val="ListeParagraf"/>
              <w:spacing w:before="120" w:after="120"/>
              <w:ind w:left="0"/>
              <w:jc w:val="both"/>
              <w:rPr>
                <w:sz w:val="20"/>
                <w:szCs w:val="20"/>
              </w:rPr>
            </w:pPr>
            <w:r w:rsidRPr="002164F8">
              <w:rPr>
                <w:b/>
                <w:bCs/>
                <w:color w:val="000000"/>
                <w:sz w:val="20"/>
                <w:szCs w:val="20"/>
              </w:rPr>
              <w:t xml:space="preserve">Şablon Adı </w:t>
            </w:r>
          </w:p>
        </w:tc>
        <w:tc>
          <w:tcPr>
            <w:tcW w:w="1984" w:type="dxa"/>
            <w:tcBorders>
              <w:top w:val="single" w:sz="4"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2664E9E8" w14:textId="765A008B" w:rsidR="00E83769" w:rsidRPr="002164F8" w:rsidRDefault="00E83769" w:rsidP="002164F8">
            <w:pPr>
              <w:pStyle w:val="ListeParagraf"/>
              <w:spacing w:before="120" w:after="120"/>
              <w:ind w:left="0"/>
              <w:jc w:val="both"/>
              <w:rPr>
                <w:sz w:val="20"/>
                <w:szCs w:val="20"/>
              </w:rPr>
            </w:pPr>
            <w:r w:rsidRPr="002164F8">
              <w:rPr>
                <w:b/>
                <w:bCs/>
                <w:color w:val="000000"/>
                <w:sz w:val="20"/>
                <w:szCs w:val="20"/>
              </w:rPr>
              <w:t>B</w:t>
            </w:r>
            <w:r w:rsidR="007D19A0">
              <w:rPr>
                <w:b/>
                <w:bCs/>
                <w:color w:val="000000"/>
                <w:sz w:val="20"/>
                <w:szCs w:val="20"/>
              </w:rPr>
              <w:t>İ</w:t>
            </w:r>
            <w:r w:rsidRPr="002164F8">
              <w:rPr>
                <w:b/>
                <w:bCs/>
                <w:color w:val="000000"/>
                <w:sz w:val="20"/>
                <w:szCs w:val="20"/>
              </w:rPr>
              <w:t>Y’de Yer Aldığı Üst Menünün Adı</w:t>
            </w:r>
          </w:p>
        </w:tc>
        <w:tc>
          <w:tcPr>
            <w:tcW w:w="9214" w:type="dxa"/>
            <w:tcBorders>
              <w:top w:val="single" w:sz="4"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08C9F12C" w14:textId="097D1113" w:rsidR="00E83769" w:rsidRPr="002164F8" w:rsidRDefault="00E83769" w:rsidP="002164F8">
            <w:pPr>
              <w:pStyle w:val="ListeParagraf"/>
              <w:spacing w:before="120" w:after="120"/>
              <w:ind w:left="0"/>
              <w:jc w:val="both"/>
              <w:rPr>
                <w:sz w:val="20"/>
                <w:szCs w:val="20"/>
              </w:rPr>
            </w:pPr>
            <w:r w:rsidRPr="002164F8">
              <w:rPr>
                <w:b/>
                <w:bCs/>
                <w:color w:val="000000"/>
                <w:sz w:val="20"/>
                <w:szCs w:val="20"/>
              </w:rPr>
              <w:t>Açıklama</w:t>
            </w:r>
          </w:p>
        </w:tc>
      </w:tr>
      <w:tr w:rsidR="00E83769" w14:paraId="1350FC9A" w14:textId="77777777" w:rsidTr="00E83769">
        <w:tc>
          <w:tcPr>
            <w:tcW w:w="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62262" w14:textId="77777777" w:rsidR="00E83769" w:rsidRPr="002164F8" w:rsidRDefault="00E83769" w:rsidP="002164F8">
            <w:pPr>
              <w:pStyle w:val="ListeParagraf"/>
              <w:spacing w:before="120" w:after="120"/>
              <w:ind w:left="0"/>
              <w:jc w:val="both"/>
              <w:rPr>
                <w:sz w:val="20"/>
                <w:szCs w:val="20"/>
              </w:rPr>
            </w:pPr>
            <w:r w:rsidRPr="002164F8">
              <w:rPr>
                <w:sz w:val="20"/>
                <w:szCs w:val="20"/>
              </w:rPr>
              <w:t>2</w:t>
            </w:r>
          </w:p>
        </w:tc>
        <w:tc>
          <w:tcPr>
            <w:tcW w:w="1950" w:type="dxa"/>
            <w:tcBorders>
              <w:top w:val="nil"/>
              <w:left w:val="nil"/>
              <w:bottom w:val="single" w:sz="8" w:space="0" w:color="auto"/>
              <w:right w:val="single" w:sz="8" w:space="0" w:color="auto"/>
            </w:tcBorders>
            <w:tcMar>
              <w:top w:w="0" w:type="dxa"/>
              <w:left w:w="108" w:type="dxa"/>
              <w:bottom w:w="0" w:type="dxa"/>
              <w:right w:w="108" w:type="dxa"/>
            </w:tcMar>
            <w:hideMark/>
          </w:tcPr>
          <w:p w14:paraId="07C1DDE6" w14:textId="77777777" w:rsidR="00E83769" w:rsidRPr="002164F8" w:rsidRDefault="00E83769" w:rsidP="002164F8">
            <w:pPr>
              <w:pStyle w:val="ListeParagraf"/>
              <w:spacing w:before="120" w:after="120"/>
              <w:ind w:left="0"/>
              <w:jc w:val="both"/>
              <w:rPr>
                <w:sz w:val="20"/>
                <w:szCs w:val="20"/>
              </w:rPr>
            </w:pPr>
            <w:r w:rsidRPr="002164F8">
              <w:rPr>
                <w:sz w:val="20"/>
                <w:szCs w:val="20"/>
              </w:rPr>
              <w:t>Kâr Payı Avansı Dağıtım İşlemlerine İlişkin Bildirim</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36A814B" w14:textId="77777777" w:rsidR="00E83769" w:rsidRPr="002164F8" w:rsidRDefault="00E83769" w:rsidP="002164F8">
            <w:pPr>
              <w:pStyle w:val="ListeParagraf"/>
              <w:spacing w:before="120" w:after="120"/>
              <w:ind w:left="0"/>
              <w:jc w:val="both"/>
              <w:rPr>
                <w:sz w:val="20"/>
                <w:szCs w:val="20"/>
              </w:rPr>
            </w:pPr>
            <w:r w:rsidRPr="002164F8">
              <w:rPr>
                <w:sz w:val="20"/>
                <w:szCs w:val="20"/>
              </w:rPr>
              <w:t>Hak Kullanım İşlemleri</w:t>
            </w:r>
          </w:p>
        </w:tc>
        <w:tc>
          <w:tcPr>
            <w:tcW w:w="9214" w:type="dxa"/>
            <w:tcBorders>
              <w:top w:val="nil"/>
              <w:left w:val="nil"/>
              <w:bottom w:val="single" w:sz="8" w:space="0" w:color="auto"/>
              <w:right w:val="single" w:sz="8" w:space="0" w:color="auto"/>
            </w:tcBorders>
            <w:tcMar>
              <w:top w:w="0" w:type="dxa"/>
              <w:left w:w="108" w:type="dxa"/>
              <w:bottom w:w="0" w:type="dxa"/>
              <w:right w:w="108" w:type="dxa"/>
            </w:tcMar>
            <w:hideMark/>
          </w:tcPr>
          <w:p w14:paraId="44BAC5CD" w14:textId="51266653" w:rsidR="00E83769" w:rsidRPr="002164F8" w:rsidRDefault="00E83769" w:rsidP="00E83769">
            <w:pPr>
              <w:pStyle w:val="ListeParagraf"/>
              <w:numPr>
                <w:ilvl w:val="0"/>
                <w:numId w:val="11"/>
              </w:numPr>
              <w:spacing w:before="120" w:after="120"/>
              <w:ind w:left="319"/>
              <w:jc w:val="both"/>
              <w:rPr>
                <w:sz w:val="20"/>
                <w:szCs w:val="20"/>
              </w:rPr>
            </w:pPr>
            <w:r w:rsidRPr="002164F8">
              <w:rPr>
                <w:sz w:val="20"/>
                <w:szCs w:val="20"/>
              </w:rPr>
              <w:t xml:space="preserve">Kâr Payı Avansı Dağıtım Tablosu’ndaki değerler ile şablona ISIN bazında girilen Kâr payı avansı rakamları arasına tutarlılık kontrolü konulmuştur. </w:t>
            </w:r>
          </w:p>
          <w:p w14:paraId="4C4333A5" w14:textId="2BCBF6C4" w:rsidR="00E83769" w:rsidRPr="00E83769" w:rsidRDefault="00E83769" w:rsidP="00E83769">
            <w:pPr>
              <w:pStyle w:val="ListeParagraf"/>
              <w:numPr>
                <w:ilvl w:val="0"/>
                <w:numId w:val="11"/>
              </w:numPr>
              <w:spacing w:before="120" w:after="120"/>
              <w:ind w:left="319"/>
              <w:jc w:val="both"/>
              <w:rPr>
                <w:sz w:val="20"/>
                <w:szCs w:val="20"/>
              </w:rPr>
            </w:pPr>
            <w:r w:rsidRPr="00E83769">
              <w:rPr>
                <w:sz w:val="20"/>
                <w:szCs w:val="20"/>
              </w:rPr>
              <w:t xml:space="preserve">Kâr Payı Avansı Hak Kullanım Tarihi alanına </w:t>
            </w:r>
          </w:p>
          <w:p w14:paraId="4921298B" w14:textId="77777777" w:rsidR="00E83769" w:rsidRPr="002164F8" w:rsidRDefault="00E83769" w:rsidP="002164F8">
            <w:pPr>
              <w:numPr>
                <w:ilvl w:val="0"/>
                <w:numId w:val="3"/>
              </w:numPr>
              <w:spacing w:before="120" w:after="120"/>
              <w:jc w:val="both"/>
              <w:rPr>
                <w:rFonts w:eastAsia="Times New Roman"/>
                <w:sz w:val="20"/>
                <w:szCs w:val="20"/>
              </w:rPr>
            </w:pPr>
            <w:r w:rsidRPr="002164F8">
              <w:rPr>
                <w:rFonts w:eastAsia="Times New Roman"/>
                <w:sz w:val="20"/>
                <w:szCs w:val="20"/>
              </w:rPr>
              <w:t xml:space="preserve">Tam iş günlerinde 16:30’dan, yarım iş günlerinde 12:00’den sonra bir sonraki iş gününün tarihi </w:t>
            </w:r>
          </w:p>
          <w:p w14:paraId="184382DB" w14:textId="77777777" w:rsidR="00E83769" w:rsidRPr="002164F8" w:rsidRDefault="00E83769" w:rsidP="002164F8">
            <w:pPr>
              <w:numPr>
                <w:ilvl w:val="0"/>
                <w:numId w:val="3"/>
              </w:numPr>
              <w:spacing w:before="120" w:after="120"/>
              <w:jc w:val="both"/>
              <w:rPr>
                <w:rFonts w:eastAsia="Times New Roman"/>
                <w:sz w:val="20"/>
                <w:szCs w:val="20"/>
              </w:rPr>
            </w:pPr>
            <w:r w:rsidRPr="002164F8">
              <w:rPr>
                <w:rFonts w:eastAsia="Times New Roman"/>
                <w:sz w:val="20"/>
                <w:szCs w:val="20"/>
              </w:rPr>
              <w:t xml:space="preserve">Tatil günü, yarım iş günü, bugününün tarihi veya geçmiş bir günün tarihi </w:t>
            </w:r>
          </w:p>
          <w:p w14:paraId="70FFB85D" w14:textId="77777777" w:rsidR="00E83769" w:rsidRPr="002164F8" w:rsidRDefault="00E83769" w:rsidP="002164F8">
            <w:pPr>
              <w:pStyle w:val="ListeParagraf"/>
              <w:spacing w:before="120" w:after="120"/>
              <w:ind w:left="0"/>
              <w:jc w:val="both"/>
              <w:rPr>
                <w:sz w:val="20"/>
                <w:szCs w:val="20"/>
              </w:rPr>
            </w:pPr>
            <w:r w:rsidRPr="002164F8">
              <w:rPr>
                <w:sz w:val="20"/>
                <w:szCs w:val="20"/>
              </w:rPr>
              <w:t>girilemeyecektir.</w:t>
            </w:r>
          </w:p>
          <w:p w14:paraId="1D50B974" w14:textId="2727B8FC" w:rsidR="00E83769" w:rsidRPr="002164F8" w:rsidRDefault="00E83769" w:rsidP="00E83769">
            <w:pPr>
              <w:pStyle w:val="ListeParagraf"/>
              <w:numPr>
                <w:ilvl w:val="0"/>
                <w:numId w:val="12"/>
              </w:numPr>
              <w:spacing w:before="120" w:after="120"/>
              <w:ind w:left="319"/>
              <w:jc w:val="both"/>
              <w:rPr>
                <w:sz w:val="20"/>
                <w:szCs w:val="20"/>
              </w:rPr>
            </w:pPr>
            <w:r w:rsidRPr="002164F8">
              <w:rPr>
                <w:sz w:val="20"/>
                <w:szCs w:val="20"/>
              </w:rPr>
              <w:t>Gruplar arasında farklı kâr payı oranları söz konusu ise "Esas Sözleşmenize göre gruplar arasında Kâr payı imtiyazı söz konusu değilse "1 TL Nominal Değerli Paya Ödenecek Nakit Kâr Payı - Brüt(TL)" tutarları eşit olmalıdır. Devam etmek istiyor musunuz?" uyarısı konulmuştur.</w:t>
            </w:r>
          </w:p>
          <w:p w14:paraId="3CE75FBF" w14:textId="77777777" w:rsidR="00E83769" w:rsidRPr="002164F8" w:rsidRDefault="00E83769" w:rsidP="00E83769">
            <w:pPr>
              <w:pStyle w:val="NormalWeb"/>
              <w:numPr>
                <w:ilvl w:val="0"/>
                <w:numId w:val="12"/>
              </w:numPr>
              <w:shd w:val="clear" w:color="auto" w:fill="FFFFFF"/>
              <w:spacing w:before="150" w:beforeAutospacing="0" w:after="0" w:afterAutospacing="0"/>
              <w:ind w:left="319"/>
              <w:jc w:val="both"/>
              <w:rPr>
                <w:rFonts w:ascii="Calibri" w:hAnsi="Calibri" w:cs="Calibri"/>
                <w:sz w:val="20"/>
                <w:szCs w:val="20"/>
                <w:lang w:eastAsia="en-US"/>
              </w:rPr>
            </w:pPr>
            <w:r w:rsidRPr="002164F8">
              <w:rPr>
                <w:rFonts w:ascii="Calibri" w:hAnsi="Calibri" w:cs="Calibri"/>
                <w:color w:val="000000"/>
                <w:sz w:val="20"/>
                <w:szCs w:val="20"/>
                <w:lang w:eastAsia="en-US"/>
              </w:rPr>
              <w:t>-Şablonun imzalanması adımına, şablona giriş yapılan bilgilerin, Genel kurul tutanağı ve/veya ek yapılan diğer dokümanlarda yer alan bilgiler, Ek Açıklamalar alanında yer alan bilgiler, Kâr Payı Avansı Dağıtım Tablosu'nda yer alan bilgiler ve Esas Sözleşmede yer alan kâr payı dağıtım esasları ile tutarlı olduğunun kabulüne ilişkin bir beyan konulmuştur.</w:t>
            </w:r>
          </w:p>
        </w:tc>
      </w:tr>
      <w:tr w:rsidR="00E83769" w14:paraId="09CBCC53" w14:textId="77777777" w:rsidTr="00E83769">
        <w:tc>
          <w:tcPr>
            <w:tcW w:w="4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4F76E19" w14:textId="77777777" w:rsidR="00E83769" w:rsidRPr="002164F8" w:rsidRDefault="00E83769" w:rsidP="002164F8">
            <w:pPr>
              <w:pStyle w:val="ListeParagraf"/>
              <w:spacing w:before="120" w:after="120"/>
              <w:ind w:left="0"/>
              <w:jc w:val="both"/>
              <w:rPr>
                <w:sz w:val="20"/>
                <w:szCs w:val="20"/>
              </w:rPr>
            </w:pPr>
            <w:r w:rsidRPr="002164F8">
              <w:rPr>
                <w:sz w:val="20"/>
                <w:szCs w:val="20"/>
              </w:rPr>
              <w:t>3</w:t>
            </w:r>
          </w:p>
        </w:tc>
        <w:tc>
          <w:tcPr>
            <w:tcW w:w="1950" w:type="dxa"/>
            <w:tcBorders>
              <w:top w:val="nil"/>
              <w:left w:val="nil"/>
              <w:bottom w:val="single" w:sz="4" w:space="0" w:color="auto"/>
              <w:right w:val="single" w:sz="8" w:space="0" w:color="auto"/>
            </w:tcBorders>
            <w:tcMar>
              <w:top w:w="0" w:type="dxa"/>
              <w:left w:w="108" w:type="dxa"/>
              <w:bottom w:w="0" w:type="dxa"/>
              <w:right w:w="108" w:type="dxa"/>
            </w:tcMar>
            <w:hideMark/>
          </w:tcPr>
          <w:p w14:paraId="434779DE" w14:textId="77777777" w:rsidR="00E83769" w:rsidRPr="002164F8" w:rsidRDefault="00E83769" w:rsidP="002164F8">
            <w:pPr>
              <w:pStyle w:val="ListeParagraf"/>
              <w:spacing w:before="120" w:after="120"/>
              <w:ind w:left="0"/>
              <w:jc w:val="both"/>
              <w:rPr>
                <w:sz w:val="20"/>
                <w:szCs w:val="20"/>
              </w:rPr>
            </w:pPr>
            <w:r w:rsidRPr="002164F8">
              <w:rPr>
                <w:sz w:val="20"/>
                <w:szCs w:val="20"/>
              </w:rPr>
              <w:t>Sermaye Artırımı/Azaltımı İşlemlerine İlişkin Bildirim</w:t>
            </w:r>
          </w:p>
        </w:tc>
        <w:tc>
          <w:tcPr>
            <w:tcW w:w="1984" w:type="dxa"/>
            <w:tcBorders>
              <w:top w:val="nil"/>
              <w:left w:val="nil"/>
              <w:bottom w:val="single" w:sz="4" w:space="0" w:color="auto"/>
              <w:right w:val="single" w:sz="8" w:space="0" w:color="auto"/>
            </w:tcBorders>
            <w:tcMar>
              <w:top w:w="0" w:type="dxa"/>
              <w:left w:w="108" w:type="dxa"/>
              <w:bottom w:w="0" w:type="dxa"/>
              <w:right w:w="108" w:type="dxa"/>
            </w:tcMar>
            <w:hideMark/>
          </w:tcPr>
          <w:p w14:paraId="281B09C0" w14:textId="77777777" w:rsidR="00E83769" w:rsidRPr="002164F8" w:rsidRDefault="00E83769" w:rsidP="002164F8">
            <w:pPr>
              <w:pStyle w:val="ListeParagraf"/>
              <w:spacing w:before="120" w:after="120"/>
              <w:ind w:left="0"/>
              <w:jc w:val="both"/>
              <w:rPr>
                <w:sz w:val="20"/>
                <w:szCs w:val="20"/>
              </w:rPr>
            </w:pPr>
            <w:r w:rsidRPr="002164F8">
              <w:rPr>
                <w:sz w:val="20"/>
                <w:szCs w:val="20"/>
              </w:rPr>
              <w:t>Hak Kullanım İşlemleri</w:t>
            </w:r>
          </w:p>
        </w:tc>
        <w:tc>
          <w:tcPr>
            <w:tcW w:w="9214" w:type="dxa"/>
            <w:tcBorders>
              <w:top w:val="nil"/>
              <w:left w:val="nil"/>
              <w:bottom w:val="single" w:sz="4" w:space="0" w:color="auto"/>
              <w:right w:val="single" w:sz="8" w:space="0" w:color="auto"/>
            </w:tcBorders>
            <w:tcMar>
              <w:top w:w="0" w:type="dxa"/>
              <w:left w:w="108" w:type="dxa"/>
              <w:bottom w:w="0" w:type="dxa"/>
              <w:right w:w="108" w:type="dxa"/>
            </w:tcMar>
          </w:tcPr>
          <w:p w14:paraId="4BFB5D3B" w14:textId="65F7BA14" w:rsidR="00E83769" w:rsidRPr="002164F8" w:rsidRDefault="00E83769" w:rsidP="00E83769">
            <w:pPr>
              <w:pStyle w:val="ListeParagraf"/>
              <w:numPr>
                <w:ilvl w:val="0"/>
                <w:numId w:val="14"/>
              </w:numPr>
              <w:spacing w:before="120" w:after="120"/>
              <w:ind w:left="319"/>
              <w:jc w:val="both"/>
              <w:rPr>
                <w:sz w:val="20"/>
                <w:szCs w:val="20"/>
              </w:rPr>
            </w:pPr>
            <w:r w:rsidRPr="002164F8">
              <w:rPr>
                <w:sz w:val="20"/>
                <w:szCs w:val="20"/>
              </w:rPr>
              <w:t>Sermaye Azaltım Tarihi ve Bedelsiz Pay Alma Hakkı Kullanım Başlangıç Tarihi</w:t>
            </w:r>
            <w:r w:rsidRPr="002164F8">
              <w:rPr>
                <w:rFonts w:ascii="Helvetica" w:hAnsi="Helvetica" w:cs="Helvetica"/>
                <w:color w:val="409399"/>
                <w:sz w:val="20"/>
                <w:szCs w:val="20"/>
                <w:shd w:val="clear" w:color="auto" w:fill="FFFFFF"/>
              </w:rPr>
              <w:t xml:space="preserve"> </w:t>
            </w:r>
            <w:r w:rsidRPr="002164F8">
              <w:rPr>
                <w:sz w:val="20"/>
                <w:szCs w:val="20"/>
              </w:rPr>
              <w:t xml:space="preserve">alanlarına </w:t>
            </w:r>
          </w:p>
          <w:p w14:paraId="05348AB0" w14:textId="77777777" w:rsidR="00E83769" w:rsidRPr="002164F8" w:rsidRDefault="00E83769" w:rsidP="002164F8">
            <w:pPr>
              <w:numPr>
                <w:ilvl w:val="0"/>
                <w:numId w:val="3"/>
              </w:numPr>
              <w:spacing w:before="120" w:after="120"/>
              <w:jc w:val="both"/>
              <w:rPr>
                <w:rFonts w:eastAsia="Times New Roman"/>
                <w:sz w:val="20"/>
                <w:szCs w:val="20"/>
              </w:rPr>
            </w:pPr>
            <w:r w:rsidRPr="002164F8">
              <w:rPr>
                <w:rFonts w:eastAsia="Times New Roman"/>
                <w:sz w:val="20"/>
                <w:szCs w:val="20"/>
              </w:rPr>
              <w:t xml:space="preserve">Tam iş günlerinde 16:30’dan, yarım iş günlerinde 12:00’den sonra bir sonraki iş gününün tarihi </w:t>
            </w:r>
          </w:p>
          <w:p w14:paraId="4BB924C7" w14:textId="77777777" w:rsidR="00E83769" w:rsidRPr="002164F8" w:rsidRDefault="00E83769" w:rsidP="002164F8">
            <w:pPr>
              <w:numPr>
                <w:ilvl w:val="0"/>
                <w:numId w:val="3"/>
              </w:numPr>
              <w:spacing w:before="120" w:after="120"/>
              <w:jc w:val="both"/>
              <w:rPr>
                <w:rFonts w:eastAsia="Times New Roman"/>
                <w:sz w:val="20"/>
                <w:szCs w:val="20"/>
              </w:rPr>
            </w:pPr>
            <w:r w:rsidRPr="002164F8">
              <w:rPr>
                <w:rFonts w:eastAsia="Times New Roman"/>
                <w:sz w:val="20"/>
                <w:szCs w:val="20"/>
              </w:rPr>
              <w:t xml:space="preserve">Tatil günü, yarım iş günü, bugününün tarihi veya geçmiş bir günün tarihi </w:t>
            </w:r>
          </w:p>
          <w:p w14:paraId="18C4D1E5" w14:textId="77777777" w:rsidR="00E83769" w:rsidRPr="002164F8" w:rsidRDefault="00E83769" w:rsidP="002164F8">
            <w:pPr>
              <w:pStyle w:val="ListeParagraf"/>
              <w:spacing w:before="120" w:after="120"/>
              <w:ind w:left="0"/>
              <w:jc w:val="both"/>
              <w:rPr>
                <w:sz w:val="20"/>
                <w:szCs w:val="20"/>
              </w:rPr>
            </w:pPr>
            <w:r w:rsidRPr="002164F8">
              <w:rPr>
                <w:sz w:val="20"/>
                <w:szCs w:val="20"/>
              </w:rPr>
              <w:t>girilemeyecektir.</w:t>
            </w:r>
          </w:p>
          <w:p w14:paraId="51B4EB5F" w14:textId="36ED0026" w:rsidR="00E83769" w:rsidRPr="00E83769" w:rsidRDefault="00E83769" w:rsidP="00E83769">
            <w:pPr>
              <w:pStyle w:val="ListeParagraf"/>
              <w:numPr>
                <w:ilvl w:val="0"/>
                <w:numId w:val="14"/>
              </w:numPr>
              <w:spacing w:before="120" w:after="120"/>
              <w:ind w:left="319"/>
              <w:jc w:val="both"/>
              <w:rPr>
                <w:sz w:val="20"/>
                <w:szCs w:val="20"/>
              </w:rPr>
            </w:pPr>
            <w:r w:rsidRPr="00E83769">
              <w:rPr>
                <w:sz w:val="20"/>
                <w:szCs w:val="20"/>
              </w:rPr>
              <w:t>Rüçhan Hakkı Kullanımı Başlangıç Tarihi alanına tatil günü, yarım iş günü, bugünün tarihi veya geçmiş bir günün tarihi girilemeyecektir.</w:t>
            </w:r>
          </w:p>
          <w:p w14:paraId="1E1DB717" w14:textId="77777777" w:rsidR="00E83769" w:rsidRDefault="00E83769" w:rsidP="002164F8">
            <w:pPr>
              <w:spacing w:before="120" w:after="120"/>
              <w:jc w:val="both"/>
              <w:rPr>
                <w:sz w:val="20"/>
                <w:szCs w:val="20"/>
              </w:rPr>
            </w:pPr>
          </w:p>
          <w:p w14:paraId="77283852" w14:textId="77777777" w:rsidR="00E83769" w:rsidRDefault="00E83769" w:rsidP="002164F8">
            <w:pPr>
              <w:spacing w:before="120" w:after="120"/>
              <w:jc w:val="both"/>
              <w:rPr>
                <w:sz w:val="20"/>
                <w:szCs w:val="20"/>
              </w:rPr>
            </w:pPr>
          </w:p>
          <w:p w14:paraId="392D812A" w14:textId="77777777" w:rsidR="00E83769" w:rsidRDefault="00E83769" w:rsidP="002164F8">
            <w:pPr>
              <w:spacing w:before="120" w:after="120"/>
              <w:jc w:val="both"/>
              <w:rPr>
                <w:sz w:val="20"/>
                <w:szCs w:val="20"/>
              </w:rPr>
            </w:pPr>
          </w:p>
          <w:p w14:paraId="24B689A9" w14:textId="21C0F00B" w:rsidR="00E83769" w:rsidRPr="002164F8" w:rsidRDefault="00E83769" w:rsidP="002164F8">
            <w:pPr>
              <w:spacing w:before="120" w:after="120"/>
              <w:jc w:val="both"/>
              <w:rPr>
                <w:sz w:val="20"/>
                <w:szCs w:val="20"/>
              </w:rPr>
            </w:pPr>
          </w:p>
        </w:tc>
      </w:tr>
      <w:tr w:rsidR="00E83769" w14:paraId="0AC55B96" w14:textId="77777777" w:rsidTr="00E83769">
        <w:tc>
          <w:tcPr>
            <w:tcW w:w="460" w:type="dxa"/>
            <w:tcBorders>
              <w:top w:val="single" w:sz="4"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06AD7451" w14:textId="7983ED0E" w:rsidR="00E83769" w:rsidRPr="002164F8" w:rsidRDefault="00E83769" w:rsidP="002164F8">
            <w:pPr>
              <w:pStyle w:val="ListeParagraf"/>
              <w:spacing w:before="120" w:after="120"/>
              <w:ind w:left="0"/>
              <w:jc w:val="both"/>
              <w:rPr>
                <w:sz w:val="20"/>
                <w:szCs w:val="20"/>
              </w:rPr>
            </w:pPr>
            <w:r w:rsidRPr="002164F8">
              <w:rPr>
                <w:b/>
                <w:bCs/>
                <w:sz w:val="20"/>
                <w:szCs w:val="20"/>
              </w:rPr>
              <w:lastRenderedPageBreak/>
              <w:t>No</w:t>
            </w:r>
          </w:p>
        </w:tc>
        <w:tc>
          <w:tcPr>
            <w:tcW w:w="1950" w:type="dxa"/>
            <w:tcBorders>
              <w:top w:val="single" w:sz="4"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4753FF06" w14:textId="552A2AF2" w:rsidR="00E83769" w:rsidRPr="002164F8" w:rsidRDefault="00E83769" w:rsidP="002164F8">
            <w:pPr>
              <w:pStyle w:val="ListeParagraf"/>
              <w:spacing w:before="120" w:after="120"/>
              <w:ind w:left="0"/>
              <w:jc w:val="both"/>
              <w:rPr>
                <w:sz w:val="20"/>
                <w:szCs w:val="20"/>
              </w:rPr>
            </w:pPr>
            <w:r w:rsidRPr="002164F8">
              <w:rPr>
                <w:b/>
                <w:bCs/>
                <w:color w:val="000000"/>
                <w:sz w:val="20"/>
                <w:szCs w:val="20"/>
              </w:rPr>
              <w:t xml:space="preserve">Şablon Adı </w:t>
            </w:r>
          </w:p>
        </w:tc>
        <w:tc>
          <w:tcPr>
            <w:tcW w:w="1984" w:type="dxa"/>
            <w:tcBorders>
              <w:top w:val="single" w:sz="4"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7C6B5A79" w14:textId="582104F7" w:rsidR="00E83769" w:rsidRPr="002164F8" w:rsidRDefault="00E83769" w:rsidP="002164F8">
            <w:pPr>
              <w:pStyle w:val="ListeParagraf"/>
              <w:spacing w:before="120" w:after="120"/>
              <w:ind w:left="0"/>
              <w:jc w:val="both"/>
              <w:rPr>
                <w:sz w:val="20"/>
                <w:szCs w:val="20"/>
              </w:rPr>
            </w:pPr>
            <w:r w:rsidRPr="002164F8">
              <w:rPr>
                <w:b/>
                <w:bCs/>
                <w:color w:val="000000"/>
                <w:sz w:val="20"/>
                <w:szCs w:val="20"/>
              </w:rPr>
              <w:t>B</w:t>
            </w:r>
            <w:r w:rsidR="007D19A0">
              <w:rPr>
                <w:b/>
                <w:bCs/>
                <w:color w:val="000000"/>
                <w:sz w:val="20"/>
                <w:szCs w:val="20"/>
              </w:rPr>
              <w:t>İ</w:t>
            </w:r>
            <w:r w:rsidRPr="002164F8">
              <w:rPr>
                <w:b/>
                <w:bCs/>
                <w:color w:val="000000"/>
                <w:sz w:val="20"/>
                <w:szCs w:val="20"/>
              </w:rPr>
              <w:t>Y’de Yer Aldığı Üst Menünün Adı</w:t>
            </w:r>
          </w:p>
        </w:tc>
        <w:tc>
          <w:tcPr>
            <w:tcW w:w="9214" w:type="dxa"/>
            <w:tcBorders>
              <w:top w:val="single" w:sz="4"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2C9FD544" w14:textId="0D57BD12" w:rsidR="00E83769" w:rsidRPr="002164F8" w:rsidRDefault="00E83769" w:rsidP="002164F8">
            <w:pPr>
              <w:spacing w:before="120" w:after="120"/>
              <w:jc w:val="both"/>
              <w:rPr>
                <w:sz w:val="20"/>
                <w:szCs w:val="20"/>
              </w:rPr>
            </w:pPr>
            <w:r w:rsidRPr="002164F8">
              <w:rPr>
                <w:b/>
                <w:bCs/>
                <w:color w:val="000000"/>
                <w:sz w:val="20"/>
                <w:szCs w:val="20"/>
              </w:rPr>
              <w:t>Açıklama</w:t>
            </w:r>
          </w:p>
        </w:tc>
      </w:tr>
      <w:tr w:rsidR="00E83769" w14:paraId="0DEF7D75" w14:textId="77777777" w:rsidTr="00E83769">
        <w:tc>
          <w:tcPr>
            <w:tcW w:w="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A3AE8" w14:textId="77777777" w:rsidR="00E83769" w:rsidRPr="002164F8" w:rsidRDefault="00E83769" w:rsidP="002164F8">
            <w:pPr>
              <w:pStyle w:val="ListeParagraf"/>
              <w:spacing w:before="120" w:after="120"/>
              <w:ind w:left="0"/>
              <w:jc w:val="both"/>
              <w:rPr>
                <w:sz w:val="20"/>
                <w:szCs w:val="20"/>
              </w:rPr>
            </w:pPr>
            <w:r w:rsidRPr="002164F8">
              <w:rPr>
                <w:sz w:val="20"/>
                <w:szCs w:val="20"/>
              </w:rPr>
              <w:t>4</w:t>
            </w:r>
          </w:p>
        </w:tc>
        <w:tc>
          <w:tcPr>
            <w:tcW w:w="1950" w:type="dxa"/>
            <w:tcBorders>
              <w:top w:val="nil"/>
              <w:left w:val="nil"/>
              <w:bottom w:val="single" w:sz="8" w:space="0" w:color="auto"/>
              <w:right w:val="single" w:sz="8" w:space="0" w:color="auto"/>
            </w:tcBorders>
            <w:tcMar>
              <w:top w:w="0" w:type="dxa"/>
              <w:left w:w="108" w:type="dxa"/>
              <w:bottom w:w="0" w:type="dxa"/>
              <w:right w:w="108" w:type="dxa"/>
            </w:tcMar>
            <w:hideMark/>
          </w:tcPr>
          <w:p w14:paraId="0862BD50" w14:textId="77777777" w:rsidR="00E83769" w:rsidRPr="002164F8" w:rsidRDefault="00E83769" w:rsidP="002164F8">
            <w:pPr>
              <w:pStyle w:val="ListeParagraf"/>
              <w:spacing w:before="120" w:after="120"/>
              <w:ind w:left="0"/>
              <w:jc w:val="both"/>
              <w:rPr>
                <w:sz w:val="20"/>
                <w:szCs w:val="20"/>
              </w:rPr>
            </w:pPr>
            <w:r w:rsidRPr="002164F8">
              <w:rPr>
                <w:sz w:val="20"/>
                <w:szCs w:val="20"/>
              </w:rPr>
              <w:t>Birleşme İşlemlerine İlişkin Bildirim</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F05502C" w14:textId="77777777" w:rsidR="00E83769" w:rsidRPr="002164F8" w:rsidRDefault="00E83769" w:rsidP="002164F8">
            <w:pPr>
              <w:pStyle w:val="ListeParagraf"/>
              <w:spacing w:before="120" w:after="120"/>
              <w:ind w:left="0"/>
              <w:jc w:val="both"/>
              <w:rPr>
                <w:sz w:val="20"/>
                <w:szCs w:val="20"/>
              </w:rPr>
            </w:pPr>
            <w:r w:rsidRPr="002164F8">
              <w:rPr>
                <w:sz w:val="20"/>
                <w:szCs w:val="20"/>
              </w:rPr>
              <w:t>Hak Kullanım İşlemleri</w:t>
            </w:r>
          </w:p>
        </w:tc>
        <w:tc>
          <w:tcPr>
            <w:tcW w:w="9214" w:type="dxa"/>
            <w:tcBorders>
              <w:top w:val="nil"/>
              <w:left w:val="nil"/>
              <w:bottom w:val="single" w:sz="8" w:space="0" w:color="auto"/>
              <w:right w:val="single" w:sz="8" w:space="0" w:color="auto"/>
            </w:tcBorders>
            <w:tcMar>
              <w:top w:w="0" w:type="dxa"/>
              <w:left w:w="108" w:type="dxa"/>
              <w:bottom w:w="0" w:type="dxa"/>
              <w:right w:w="108" w:type="dxa"/>
            </w:tcMar>
            <w:hideMark/>
          </w:tcPr>
          <w:p w14:paraId="7BB707E4" w14:textId="4391F750" w:rsidR="00E83769" w:rsidRPr="002164F8" w:rsidRDefault="00E83769" w:rsidP="002164F8">
            <w:pPr>
              <w:spacing w:before="120" w:after="120"/>
              <w:jc w:val="both"/>
              <w:rPr>
                <w:sz w:val="20"/>
                <w:szCs w:val="20"/>
              </w:rPr>
            </w:pPr>
            <w:r w:rsidRPr="002164F8">
              <w:rPr>
                <w:sz w:val="20"/>
                <w:szCs w:val="20"/>
              </w:rPr>
              <w:t>Pay Dağıtım Tarihi</w:t>
            </w:r>
            <w:r w:rsidRPr="002164F8">
              <w:rPr>
                <w:rFonts w:ascii="Helvetica" w:hAnsi="Helvetica" w:cs="Helvetica"/>
                <w:color w:val="409399"/>
                <w:sz w:val="20"/>
                <w:szCs w:val="20"/>
                <w:shd w:val="clear" w:color="auto" w:fill="FFFFFF"/>
              </w:rPr>
              <w:t xml:space="preserve"> </w:t>
            </w:r>
            <w:r w:rsidRPr="002164F8">
              <w:rPr>
                <w:sz w:val="20"/>
                <w:szCs w:val="20"/>
              </w:rPr>
              <w:t xml:space="preserve">alanlarına </w:t>
            </w:r>
          </w:p>
          <w:p w14:paraId="37B6A1F3" w14:textId="77777777" w:rsidR="00E83769" w:rsidRPr="002164F8" w:rsidRDefault="00E83769" w:rsidP="002164F8">
            <w:pPr>
              <w:numPr>
                <w:ilvl w:val="0"/>
                <w:numId w:val="4"/>
              </w:numPr>
              <w:spacing w:before="120" w:after="120"/>
              <w:jc w:val="both"/>
              <w:rPr>
                <w:rFonts w:eastAsia="Times New Roman"/>
                <w:sz w:val="20"/>
                <w:szCs w:val="20"/>
              </w:rPr>
            </w:pPr>
            <w:r w:rsidRPr="002164F8">
              <w:rPr>
                <w:rFonts w:eastAsia="Times New Roman"/>
                <w:sz w:val="20"/>
                <w:szCs w:val="20"/>
              </w:rPr>
              <w:t xml:space="preserve">Tam iş günlerinde 16:30’dan, yarım iş günlerinde 12:00’den sonra bir sonraki iş gününün tarihi </w:t>
            </w:r>
          </w:p>
          <w:p w14:paraId="746FC54F" w14:textId="77777777" w:rsidR="00E83769" w:rsidRPr="002164F8" w:rsidRDefault="00E83769" w:rsidP="002164F8">
            <w:pPr>
              <w:numPr>
                <w:ilvl w:val="0"/>
                <w:numId w:val="4"/>
              </w:numPr>
              <w:spacing w:before="120" w:after="120"/>
              <w:jc w:val="both"/>
              <w:rPr>
                <w:rFonts w:eastAsia="Times New Roman"/>
                <w:sz w:val="20"/>
                <w:szCs w:val="20"/>
              </w:rPr>
            </w:pPr>
            <w:r w:rsidRPr="002164F8">
              <w:rPr>
                <w:rFonts w:eastAsia="Times New Roman"/>
                <w:sz w:val="20"/>
                <w:szCs w:val="20"/>
              </w:rPr>
              <w:t xml:space="preserve">Tatil günü, yarım iş günü tarihleri </w:t>
            </w:r>
          </w:p>
          <w:p w14:paraId="7EF16653" w14:textId="77777777" w:rsidR="00E83769" w:rsidRPr="002164F8" w:rsidRDefault="00E83769" w:rsidP="002164F8">
            <w:pPr>
              <w:spacing w:before="120" w:after="120"/>
              <w:jc w:val="both"/>
              <w:rPr>
                <w:sz w:val="20"/>
                <w:szCs w:val="20"/>
              </w:rPr>
            </w:pPr>
            <w:r w:rsidRPr="002164F8">
              <w:rPr>
                <w:sz w:val="20"/>
                <w:szCs w:val="20"/>
              </w:rPr>
              <w:t>girilemeyecektir.</w:t>
            </w:r>
          </w:p>
        </w:tc>
      </w:tr>
      <w:tr w:rsidR="00E83769" w14:paraId="56B3A21C" w14:textId="77777777" w:rsidTr="00E83769">
        <w:tc>
          <w:tcPr>
            <w:tcW w:w="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CBC5C" w14:textId="77777777" w:rsidR="00E83769" w:rsidRPr="002164F8" w:rsidRDefault="00E83769" w:rsidP="002164F8">
            <w:pPr>
              <w:pStyle w:val="ListeParagraf"/>
              <w:spacing w:before="120" w:after="120"/>
              <w:ind w:left="0"/>
              <w:jc w:val="both"/>
              <w:rPr>
                <w:sz w:val="20"/>
                <w:szCs w:val="20"/>
              </w:rPr>
            </w:pPr>
            <w:r w:rsidRPr="002164F8">
              <w:rPr>
                <w:sz w:val="20"/>
                <w:szCs w:val="20"/>
              </w:rPr>
              <w:t>5</w:t>
            </w:r>
          </w:p>
        </w:tc>
        <w:tc>
          <w:tcPr>
            <w:tcW w:w="1950" w:type="dxa"/>
            <w:tcBorders>
              <w:top w:val="nil"/>
              <w:left w:val="nil"/>
              <w:bottom w:val="single" w:sz="8" w:space="0" w:color="auto"/>
              <w:right w:val="single" w:sz="8" w:space="0" w:color="auto"/>
            </w:tcBorders>
            <w:tcMar>
              <w:top w:w="0" w:type="dxa"/>
              <w:left w:w="108" w:type="dxa"/>
              <w:bottom w:w="0" w:type="dxa"/>
              <w:right w:w="108" w:type="dxa"/>
            </w:tcMar>
            <w:hideMark/>
          </w:tcPr>
          <w:p w14:paraId="78C2DA81" w14:textId="77777777" w:rsidR="00E83769" w:rsidRPr="002164F8" w:rsidRDefault="00E83769" w:rsidP="002164F8">
            <w:pPr>
              <w:pStyle w:val="ListeParagraf"/>
              <w:spacing w:before="120" w:after="120"/>
              <w:ind w:left="0"/>
              <w:jc w:val="both"/>
              <w:rPr>
                <w:sz w:val="20"/>
                <w:szCs w:val="20"/>
              </w:rPr>
            </w:pPr>
            <w:r w:rsidRPr="002164F8">
              <w:rPr>
                <w:sz w:val="20"/>
                <w:szCs w:val="20"/>
              </w:rPr>
              <w:t>Bölünme İşlemlerine İlişkin Bildirim</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64572D5" w14:textId="77777777" w:rsidR="00E83769" w:rsidRPr="002164F8" w:rsidRDefault="00E83769" w:rsidP="002164F8">
            <w:pPr>
              <w:pStyle w:val="ListeParagraf"/>
              <w:spacing w:before="120" w:after="120"/>
              <w:ind w:left="0"/>
              <w:jc w:val="both"/>
              <w:rPr>
                <w:sz w:val="20"/>
                <w:szCs w:val="20"/>
              </w:rPr>
            </w:pPr>
            <w:r w:rsidRPr="002164F8">
              <w:rPr>
                <w:sz w:val="20"/>
                <w:szCs w:val="20"/>
              </w:rPr>
              <w:t>Hak Kullanım İşlemleri</w:t>
            </w:r>
          </w:p>
        </w:tc>
        <w:tc>
          <w:tcPr>
            <w:tcW w:w="9214" w:type="dxa"/>
            <w:tcBorders>
              <w:top w:val="nil"/>
              <w:left w:val="nil"/>
              <w:bottom w:val="single" w:sz="8" w:space="0" w:color="auto"/>
              <w:right w:val="single" w:sz="8" w:space="0" w:color="auto"/>
            </w:tcBorders>
            <w:tcMar>
              <w:top w:w="0" w:type="dxa"/>
              <w:left w:w="108" w:type="dxa"/>
              <w:bottom w:w="0" w:type="dxa"/>
              <w:right w:w="108" w:type="dxa"/>
            </w:tcMar>
            <w:hideMark/>
          </w:tcPr>
          <w:p w14:paraId="4391579D" w14:textId="51C9925A" w:rsidR="00E83769" w:rsidRPr="002164F8" w:rsidRDefault="00E83769" w:rsidP="002164F8">
            <w:pPr>
              <w:spacing w:before="120" w:after="120"/>
              <w:jc w:val="both"/>
              <w:rPr>
                <w:sz w:val="20"/>
                <w:szCs w:val="20"/>
              </w:rPr>
            </w:pPr>
            <w:r w:rsidRPr="002164F8">
              <w:rPr>
                <w:sz w:val="20"/>
                <w:szCs w:val="20"/>
              </w:rPr>
              <w:t xml:space="preserve"> Pay Dağıtım Tarihi</w:t>
            </w:r>
            <w:r w:rsidRPr="002164F8">
              <w:rPr>
                <w:rFonts w:ascii="Helvetica" w:hAnsi="Helvetica" w:cs="Helvetica"/>
                <w:color w:val="409399"/>
                <w:sz w:val="20"/>
                <w:szCs w:val="20"/>
                <w:shd w:val="clear" w:color="auto" w:fill="FFFFFF"/>
              </w:rPr>
              <w:t xml:space="preserve"> </w:t>
            </w:r>
            <w:r w:rsidRPr="002164F8">
              <w:rPr>
                <w:sz w:val="20"/>
                <w:szCs w:val="20"/>
              </w:rPr>
              <w:t xml:space="preserve">alanlarına </w:t>
            </w:r>
          </w:p>
          <w:p w14:paraId="39DAFA14" w14:textId="77777777" w:rsidR="00E83769" w:rsidRPr="002164F8" w:rsidRDefault="00E83769" w:rsidP="002164F8">
            <w:pPr>
              <w:numPr>
                <w:ilvl w:val="0"/>
                <w:numId w:val="4"/>
              </w:numPr>
              <w:spacing w:before="120" w:after="120"/>
              <w:jc w:val="both"/>
              <w:rPr>
                <w:rFonts w:eastAsia="Times New Roman"/>
                <w:sz w:val="20"/>
                <w:szCs w:val="20"/>
              </w:rPr>
            </w:pPr>
            <w:r w:rsidRPr="002164F8">
              <w:rPr>
                <w:rFonts w:eastAsia="Times New Roman"/>
                <w:sz w:val="20"/>
                <w:szCs w:val="20"/>
              </w:rPr>
              <w:t xml:space="preserve">Tam iş günlerinde 16:30’dan, yarım iş günlerinde 12:00’den sonra bir sonraki iş gününün tarihi </w:t>
            </w:r>
          </w:p>
          <w:p w14:paraId="20B89527" w14:textId="77777777" w:rsidR="00E83769" w:rsidRPr="002164F8" w:rsidRDefault="00E83769" w:rsidP="002164F8">
            <w:pPr>
              <w:numPr>
                <w:ilvl w:val="0"/>
                <w:numId w:val="4"/>
              </w:numPr>
              <w:spacing w:before="120" w:after="120"/>
              <w:jc w:val="both"/>
              <w:rPr>
                <w:rFonts w:eastAsia="Times New Roman"/>
                <w:sz w:val="20"/>
                <w:szCs w:val="20"/>
              </w:rPr>
            </w:pPr>
            <w:r w:rsidRPr="002164F8">
              <w:rPr>
                <w:rFonts w:eastAsia="Times New Roman"/>
                <w:sz w:val="20"/>
                <w:szCs w:val="20"/>
              </w:rPr>
              <w:t xml:space="preserve">Tatil günü, yarım iş günü tarihleri </w:t>
            </w:r>
          </w:p>
          <w:p w14:paraId="643EC25F" w14:textId="77777777" w:rsidR="00E83769" w:rsidRPr="002164F8" w:rsidRDefault="00E83769" w:rsidP="002164F8">
            <w:pPr>
              <w:spacing w:before="120" w:after="120"/>
              <w:jc w:val="both"/>
              <w:rPr>
                <w:sz w:val="20"/>
                <w:szCs w:val="20"/>
              </w:rPr>
            </w:pPr>
            <w:r w:rsidRPr="002164F8">
              <w:rPr>
                <w:sz w:val="20"/>
                <w:szCs w:val="20"/>
              </w:rPr>
              <w:t>girilemeyecektir.</w:t>
            </w:r>
          </w:p>
        </w:tc>
      </w:tr>
      <w:tr w:rsidR="00E83769" w14:paraId="46EE4789" w14:textId="77777777" w:rsidTr="00E83769">
        <w:tc>
          <w:tcPr>
            <w:tcW w:w="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EDFB8" w14:textId="77777777" w:rsidR="00E83769" w:rsidRDefault="00E83769" w:rsidP="002164F8">
            <w:pPr>
              <w:pStyle w:val="ListeParagraf"/>
              <w:spacing w:before="120" w:after="120"/>
              <w:ind w:left="0"/>
              <w:jc w:val="both"/>
              <w:rPr>
                <w:sz w:val="24"/>
                <w:szCs w:val="24"/>
              </w:rPr>
            </w:pPr>
            <w:r>
              <w:rPr>
                <w:sz w:val="24"/>
                <w:szCs w:val="24"/>
              </w:rPr>
              <w:t>6</w:t>
            </w:r>
          </w:p>
        </w:tc>
        <w:tc>
          <w:tcPr>
            <w:tcW w:w="1950" w:type="dxa"/>
            <w:tcBorders>
              <w:top w:val="nil"/>
              <w:left w:val="nil"/>
              <w:bottom w:val="single" w:sz="8" w:space="0" w:color="auto"/>
              <w:right w:val="single" w:sz="8" w:space="0" w:color="auto"/>
            </w:tcBorders>
            <w:tcMar>
              <w:top w:w="0" w:type="dxa"/>
              <w:left w:w="108" w:type="dxa"/>
              <w:bottom w:w="0" w:type="dxa"/>
              <w:right w:w="108" w:type="dxa"/>
            </w:tcMar>
            <w:hideMark/>
          </w:tcPr>
          <w:p w14:paraId="06B95DA1" w14:textId="77777777" w:rsidR="00E83769" w:rsidRPr="002164F8" w:rsidRDefault="00E83769" w:rsidP="002164F8">
            <w:pPr>
              <w:pStyle w:val="ListeParagraf"/>
              <w:spacing w:before="120" w:after="120"/>
              <w:ind w:left="0"/>
              <w:jc w:val="both"/>
              <w:rPr>
                <w:sz w:val="20"/>
                <w:szCs w:val="20"/>
              </w:rPr>
            </w:pPr>
            <w:r w:rsidRPr="002164F8">
              <w:rPr>
                <w:sz w:val="20"/>
                <w:szCs w:val="20"/>
              </w:rPr>
              <w:t>Devrolma İşlemlerine İlişkin Bildirim</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0499D6B" w14:textId="77777777" w:rsidR="00E83769" w:rsidRPr="002164F8" w:rsidRDefault="00E83769" w:rsidP="002164F8">
            <w:pPr>
              <w:pStyle w:val="ListeParagraf"/>
              <w:spacing w:before="120" w:after="120"/>
              <w:ind w:left="0"/>
              <w:jc w:val="both"/>
              <w:rPr>
                <w:sz w:val="20"/>
                <w:szCs w:val="20"/>
              </w:rPr>
            </w:pPr>
            <w:r w:rsidRPr="002164F8">
              <w:rPr>
                <w:sz w:val="20"/>
                <w:szCs w:val="20"/>
              </w:rPr>
              <w:t>Hak Kullanım İşlemleri</w:t>
            </w:r>
          </w:p>
        </w:tc>
        <w:tc>
          <w:tcPr>
            <w:tcW w:w="9214" w:type="dxa"/>
            <w:tcBorders>
              <w:top w:val="nil"/>
              <w:left w:val="nil"/>
              <w:bottom w:val="single" w:sz="8" w:space="0" w:color="auto"/>
              <w:right w:val="single" w:sz="8" w:space="0" w:color="auto"/>
            </w:tcBorders>
            <w:tcMar>
              <w:top w:w="0" w:type="dxa"/>
              <w:left w:w="108" w:type="dxa"/>
              <w:bottom w:w="0" w:type="dxa"/>
              <w:right w:w="108" w:type="dxa"/>
            </w:tcMar>
            <w:hideMark/>
          </w:tcPr>
          <w:p w14:paraId="7D72A126" w14:textId="51CF2197" w:rsidR="00E83769" w:rsidRPr="002164F8" w:rsidRDefault="00E83769" w:rsidP="002164F8">
            <w:pPr>
              <w:spacing w:before="120" w:after="120"/>
              <w:jc w:val="both"/>
              <w:rPr>
                <w:sz w:val="20"/>
                <w:szCs w:val="20"/>
              </w:rPr>
            </w:pPr>
            <w:r w:rsidRPr="002164F8">
              <w:rPr>
                <w:sz w:val="20"/>
                <w:szCs w:val="20"/>
              </w:rPr>
              <w:t>Pay Dağıtım Tarihi</w:t>
            </w:r>
            <w:r w:rsidRPr="002164F8">
              <w:rPr>
                <w:rFonts w:ascii="Helvetica" w:hAnsi="Helvetica" w:cs="Helvetica"/>
                <w:color w:val="409399"/>
                <w:sz w:val="20"/>
                <w:szCs w:val="20"/>
                <w:shd w:val="clear" w:color="auto" w:fill="FFFFFF"/>
              </w:rPr>
              <w:t xml:space="preserve"> </w:t>
            </w:r>
            <w:r w:rsidRPr="002164F8">
              <w:rPr>
                <w:sz w:val="20"/>
                <w:szCs w:val="20"/>
              </w:rPr>
              <w:t xml:space="preserve">alanlarına </w:t>
            </w:r>
          </w:p>
          <w:p w14:paraId="319D25B8" w14:textId="77777777" w:rsidR="00E83769" w:rsidRPr="002164F8" w:rsidRDefault="00E83769" w:rsidP="002164F8">
            <w:pPr>
              <w:numPr>
                <w:ilvl w:val="0"/>
                <w:numId w:val="4"/>
              </w:numPr>
              <w:spacing w:before="120" w:after="120"/>
              <w:jc w:val="both"/>
              <w:rPr>
                <w:rFonts w:eastAsia="Times New Roman"/>
                <w:sz w:val="20"/>
                <w:szCs w:val="20"/>
              </w:rPr>
            </w:pPr>
            <w:r w:rsidRPr="002164F8">
              <w:rPr>
                <w:rFonts w:eastAsia="Times New Roman"/>
                <w:sz w:val="20"/>
                <w:szCs w:val="20"/>
              </w:rPr>
              <w:t xml:space="preserve">Tam iş günlerinde 16:30’dan, yarım iş günlerinde 12:00’den sonra bir sonraki iş gününün tarihi </w:t>
            </w:r>
          </w:p>
          <w:p w14:paraId="74BCC182" w14:textId="77777777" w:rsidR="00E83769" w:rsidRPr="002164F8" w:rsidRDefault="00E83769" w:rsidP="002164F8">
            <w:pPr>
              <w:numPr>
                <w:ilvl w:val="0"/>
                <w:numId w:val="4"/>
              </w:numPr>
              <w:spacing w:before="120" w:after="120"/>
              <w:jc w:val="both"/>
              <w:rPr>
                <w:rFonts w:eastAsia="Times New Roman"/>
                <w:sz w:val="20"/>
                <w:szCs w:val="20"/>
              </w:rPr>
            </w:pPr>
            <w:r w:rsidRPr="002164F8">
              <w:rPr>
                <w:rFonts w:eastAsia="Times New Roman"/>
                <w:sz w:val="20"/>
                <w:szCs w:val="20"/>
              </w:rPr>
              <w:t xml:space="preserve">Tatil günü, yarım iş günü tarihleri </w:t>
            </w:r>
          </w:p>
          <w:p w14:paraId="085884E0" w14:textId="77777777" w:rsidR="00E83769" w:rsidRPr="002164F8" w:rsidRDefault="00E83769" w:rsidP="002164F8">
            <w:pPr>
              <w:spacing w:before="120" w:after="120"/>
              <w:jc w:val="both"/>
              <w:rPr>
                <w:sz w:val="20"/>
                <w:szCs w:val="20"/>
              </w:rPr>
            </w:pPr>
            <w:r w:rsidRPr="002164F8">
              <w:rPr>
                <w:sz w:val="20"/>
                <w:szCs w:val="20"/>
              </w:rPr>
              <w:t>girilemeyecektir.</w:t>
            </w:r>
          </w:p>
        </w:tc>
      </w:tr>
      <w:tr w:rsidR="00E83769" w14:paraId="0B9B0953" w14:textId="77777777" w:rsidTr="00E83769">
        <w:tc>
          <w:tcPr>
            <w:tcW w:w="4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E3B3B85" w14:textId="77777777" w:rsidR="00E83769" w:rsidRDefault="00E83769" w:rsidP="002164F8">
            <w:pPr>
              <w:pStyle w:val="ListeParagraf"/>
              <w:spacing w:before="120" w:after="120"/>
              <w:ind w:left="0"/>
              <w:jc w:val="both"/>
              <w:rPr>
                <w:sz w:val="24"/>
                <w:szCs w:val="24"/>
              </w:rPr>
            </w:pPr>
            <w:r>
              <w:rPr>
                <w:sz w:val="24"/>
                <w:szCs w:val="24"/>
              </w:rPr>
              <w:t>7</w:t>
            </w:r>
          </w:p>
        </w:tc>
        <w:tc>
          <w:tcPr>
            <w:tcW w:w="1950" w:type="dxa"/>
            <w:tcBorders>
              <w:top w:val="nil"/>
              <w:left w:val="nil"/>
              <w:bottom w:val="single" w:sz="4" w:space="0" w:color="auto"/>
              <w:right w:val="single" w:sz="8" w:space="0" w:color="auto"/>
            </w:tcBorders>
            <w:tcMar>
              <w:top w:w="0" w:type="dxa"/>
              <w:left w:w="108" w:type="dxa"/>
              <w:bottom w:w="0" w:type="dxa"/>
              <w:right w:w="108" w:type="dxa"/>
            </w:tcMar>
            <w:hideMark/>
          </w:tcPr>
          <w:p w14:paraId="0167349D" w14:textId="77777777" w:rsidR="00E83769" w:rsidRPr="002164F8" w:rsidRDefault="00E83769" w:rsidP="002164F8">
            <w:pPr>
              <w:pStyle w:val="ListeParagraf"/>
              <w:spacing w:before="120" w:after="120"/>
              <w:ind w:left="0"/>
              <w:jc w:val="both"/>
              <w:rPr>
                <w:sz w:val="20"/>
                <w:szCs w:val="20"/>
              </w:rPr>
            </w:pPr>
            <w:r w:rsidRPr="002164F8">
              <w:rPr>
                <w:sz w:val="20"/>
                <w:szCs w:val="20"/>
              </w:rPr>
              <w:t>Diğer Nakit Ödemeye İlişkin Bildirim</w:t>
            </w:r>
          </w:p>
        </w:tc>
        <w:tc>
          <w:tcPr>
            <w:tcW w:w="1984" w:type="dxa"/>
            <w:tcBorders>
              <w:top w:val="nil"/>
              <w:left w:val="nil"/>
              <w:bottom w:val="single" w:sz="4" w:space="0" w:color="auto"/>
              <w:right w:val="single" w:sz="8" w:space="0" w:color="auto"/>
            </w:tcBorders>
            <w:tcMar>
              <w:top w:w="0" w:type="dxa"/>
              <w:left w:w="108" w:type="dxa"/>
              <w:bottom w:w="0" w:type="dxa"/>
              <w:right w:w="108" w:type="dxa"/>
            </w:tcMar>
            <w:hideMark/>
          </w:tcPr>
          <w:p w14:paraId="6F5A0F99" w14:textId="77777777" w:rsidR="00E83769" w:rsidRPr="002164F8" w:rsidRDefault="00E83769" w:rsidP="002164F8">
            <w:pPr>
              <w:pStyle w:val="ListeParagraf"/>
              <w:spacing w:before="120" w:after="120"/>
              <w:ind w:left="0"/>
              <w:jc w:val="both"/>
              <w:rPr>
                <w:sz w:val="20"/>
                <w:szCs w:val="20"/>
              </w:rPr>
            </w:pPr>
            <w:r w:rsidRPr="002164F8">
              <w:rPr>
                <w:sz w:val="20"/>
                <w:szCs w:val="20"/>
              </w:rPr>
              <w:t>Hak Kullanım İşlemleri</w:t>
            </w:r>
          </w:p>
        </w:tc>
        <w:tc>
          <w:tcPr>
            <w:tcW w:w="9214" w:type="dxa"/>
            <w:tcBorders>
              <w:top w:val="nil"/>
              <w:left w:val="nil"/>
              <w:bottom w:val="single" w:sz="4" w:space="0" w:color="auto"/>
              <w:right w:val="single" w:sz="8" w:space="0" w:color="auto"/>
            </w:tcBorders>
            <w:tcMar>
              <w:top w:w="0" w:type="dxa"/>
              <w:left w:w="108" w:type="dxa"/>
              <w:bottom w:w="0" w:type="dxa"/>
              <w:right w:w="108" w:type="dxa"/>
            </w:tcMar>
          </w:tcPr>
          <w:p w14:paraId="661DF419" w14:textId="20853D4D" w:rsidR="00E83769" w:rsidRPr="002164F8" w:rsidRDefault="00E83769" w:rsidP="002164F8">
            <w:pPr>
              <w:pStyle w:val="ListeParagraf"/>
              <w:spacing w:before="120" w:after="120"/>
              <w:ind w:left="0"/>
              <w:jc w:val="both"/>
              <w:rPr>
                <w:sz w:val="20"/>
                <w:szCs w:val="20"/>
              </w:rPr>
            </w:pPr>
            <w:r w:rsidRPr="002164F8">
              <w:rPr>
                <w:sz w:val="20"/>
                <w:szCs w:val="20"/>
              </w:rPr>
              <w:t xml:space="preserve">Kesinleşen Nakit Ödeme Hak Kullanım Tarihi alanına </w:t>
            </w:r>
          </w:p>
          <w:p w14:paraId="262A5FD7" w14:textId="77777777" w:rsidR="00E83769" w:rsidRPr="002164F8" w:rsidRDefault="00E83769" w:rsidP="002164F8">
            <w:pPr>
              <w:numPr>
                <w:ilvl w:val="0"/>
                <w:numId w:val="3"/>
              </w:numPr>
              <w:spacing w:before="120" w:after="120"/>
              <w:jc w:val="both"/>
              <w:rPr>
                <w:rFonts w:eastAsia="Times New Roman"/>
                <w:sz w:val="20"/>
                <w:szCs w:val="20"/>
              </w:rPr>
            </w:pPr>
            <w:r w:rsidRPr="002164F8">
              <w:rPr>
                <w:rFonts w:eastAsia="Times New Roman"/>
                <w:sz w:val="20"/>
                <w:szCs w:val="20"/>
              </w:rPr>
              <w:t xml:space="preserve">Tam iş günlerinde 16:30’dan, yarım iş günlerinde 12:00’den sonra bir sonraki iş gününün tarihi </w:t>
            </w:r>
          </w:p>
          <w:p w14:paraId="42AB7F24" w14:textId="77777777" w:rsidR="00E83769" w:rsidRPr="002164F8" w:rsidRDefault="00E83769" w:rsidP="002164F8">
            <w:pPr>
              <w:numPr>
                <w:ilvl w:val="0"/>
                <w:numId w:val="3"/>
              </w:numPr>
              <w:spacing w:before="120" w:after="120"/>
              <w:jc w:val="both"/>
              <w:rPr>
                <w:rFonts w:eastAsia="Times New Roman"/>
                <w:sz w:val="20"/>
                <w:szCs w:val="20"/>
              </w:rPr>
            </w:pPr>
            <w:r w:rsidRPr="002164F8">
              <w:rPr>
                <w:rFonts w:eastAsia="Times New Roman"/>
                <w:sz w:val="20"/>
                <w:szCs w:val="20"/>
              </w:rPr>
              <w:t xml:space="preserve">Tatil günü, yarım iş günü, bugününün tarihi veya geçmiş bir günün tarihi </w:t>
            </w:r>
          </w:p>
          <w:p w14:paraId="48395F38" w14:textId="77777777" w:rsidR="00E83769" w:rsidRPr="002164F8" w:rsidRDefault="00E83769" w:rsidP="002164F8">
            <w:pPr>
              <w:pStyle w:val="ListeParagraf"/>
              <w:spacing w:before="120" w:after="120"/>
              <w:ind w:left="0"/>
              <w:jc w:val="both"/>
              <w:rPr>
                <w:sz w:val="20"/>
                <w:szCs w:val="20"/>
              </w:rPr>
            </w:pPr>
            <w:r w:rsidRPr="002164F8">
              <w:rPr>
                <w:sz w:val="20"/>
                <w:szCs w:val="20"/>
              </w:rPr>
              <w:t>girilemeyecektir.</w:t>
            </w:r>
          </w:p>
          <w:p w14:paraId="10215CED" w14:textId="77777777" w:rsidR="00E83769" w:rsidRDefault="00E83769" w:rsidP="002164F8">
            <w:pPr>
              <w:spacing w:before="120" w:after="120"/>
              <w:jc w:val="both"/>
              <w:rPr>
                <w:sz w:val="20"/>
                <w:szCs w:val="20"/>
              </w:rPr>
            </w:pPr>
          </w:p>
          <w:p w14:paraId="03009775" w14:textId="77777777" w:rsidR="00E83769" w:rsidRDefault="00E83769" w:rsidP="002164F8">
            <w:pPr>
              <w:spacing w:before="120" w:after="120"/>
              <w:jc w:val="both"/>
              <w:rPr>
                <w:sz w:val="20"/>
                <w:szCs w:val="20"/>
              </w:rPr>
            </w:pPr>
          </w:p>
          <w:p w14:paraId="67EF7530" w14:textId="77777777" w:rsidR="00E83769" w:rsidRDefault="00E83769" w:rsidP="002164F8">
            <w:pPr>
              <w:spacing w:before="120" w:after="120"/>
              <w:jc w:val="both"/>
              <w:rPr>
                <w:sz w:val="20"/>
                <w:szCs w:val="20"/>
              </w:rPr>
            </w:pPr>
          </w:p>
          <w:p w14:paraId="5C06CAB3" w14:textId="48BF24B1" w:rsidR="00E83769" w:rsidRPr="002164F8" w:rsidRDefault="00E83769" w:rsidP="002164F8">
            <w:pPr>
              <w:spacing w:before="120" w:after="120"/>
              <w:jc w:val="both"/>
              <w:rPr>
                <w:sz w:val="20"/>
                <w:szCs w:val="20"/>
              </w:rPr>
            </w:pPr>
          </w:p>
        </w:tc>
      </w:tr>
      <w:tr w:rsidR="00E83769" w14:paraId="57C8FA42" w14:textId="77777777" w:rsidTr="00E83769">
        <w:tc>
          <w:tcPr>
            <w:tcW w:w="460" w:type="dxa"/>
            <w:tcBorders>
              <w:top w:val="single" w:sz="4"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66C621D3" w14:textId="417605B2" w:rsidR="00E83769" w:rsidRPr="002164F8" w:rsidRDefault="00E83769" w:rsidP="002164F8">
            <w:pPr>
              <w:pStyle w:val="ListeParagraf"/>
              <w:spacing w:before="120" w:after="120"/>
              <w:ind w:left="0"/>
              <w:jc w:val="both"/>
              <w:rPr>
                <w:sz w:val="20"/>
                <w:szCs w:val="20"/>
              </w:rPr>
            </w:pPr>
            <w:r w:rsidRPr="002164F8">
              <w:rPr>
                <w:b/>
                <w:bCs/>
                <w:sz w:val="20"/>
                <w:szCs w:val="20"/>
              </w:rPr>
              <w:lastRenderedPageBreak/>
              <w:t>No</w:t>
            </w:r>
          </w:p>
        </w:tc>
        <w:tc>
          <w:tcPr>
            <w:tcW w:w="1950" w:type="dxa"/>
            <w:tcBorders>
              <w:top w:val="single" w:sz="4"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5A0C9243" w14:textId="67C54BBD" w:rsidR="00E83769" w:rsidRPr="002164F8" w:rsidRDefault="00E83769" w:rsidP="002164F8">
            <w:pPr>
              <w:pStyle w:val="ListeParagraf"/>
              <w:spacing w:before="120" w:after="120"/>
              <w:ind w:left="0"/>
              <w:jc w:val="both"/>
              <w:rPr>
                <w:sz w:val="20"/>
                <w:szCs w:val="20"/>
              </w:rPr>
            </w:pPr>
            <w:r w:rsidRPr="002164F8">
              <w:rPr>
                <w:b/>
                <w:bCs/>
                <w:color w:val="000000"/>
                <w:sz w:val="20"/>
                <w:szCs w:val="20"/>
              </w:rPr>
              <w:t xml:space="preserve">Şablon Adı </w:t>
            </w:r>
          </w:p>
        </w:tc>
        <w:tc>
          <w:tcPr>
            <w:tcW w:w="1984" w:type="dxa"/>
            <w:tcBorders>
              <w:top w:val="single" w:sz="4"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2F5402C9" w14:textId="745238A7" w:rsidR="00E83769" w:rsidRPr="002164F8" w:rsidRDefault="00E83769" w:rsidP="002164F8">
            <w:pPr>
              <w:pStyle w:val="ListeParagraf"/>
              <w:spacing w:before="120" w:after="120"/>
              <w:ind w:left="0"/>
              <w:jc w:val="both"/>
              <w:rPr>
                <w:sz w:val="20"/>
                <w:szCs w:val="20"/>
              </w:rPr>
            </w:pPr>
            <w:r w:rsidRPr="002164F8">
              <w:rPr>
                <w:b/>
                <w:bCs/>
                <w:color w:val="000000"/>
                <w:sz w:val="20"/>
                <w:szCs w:val="20"/>
              </w:rPr>
              <w:t>B</w:t>
            </w:r>
            <w:r w:rsidR="007D19A0">
              <w:rPr>
                <w:b/>
                <w:bCs/>
                <w:color w:val="000000"/>
                <w:sz w:val="20"/>
                <w:szCs w:val="20"/>
              </w:rPr>
              <w:t>İ</w:t>
            </w:r>
            <w:r w:rsidRPr="002164F8">
              <w:rPr>
                <w:b/>
                <w:bCs/>
                <w:color w:val="000000"/>
                <w:sz w:val="20"/>
                <w:szCs w:val="20"/>
              </w:rPr>
              <w:t>Y’de Yer Aldığı Üst Menünün Adı</w:t>
            </w:r>
          </w:p>
        </w:tc>
        <w:tc>
          <w:tcPr>
            <w:tcW w:w="9214" w:type="dxa"/>
            <w:tcBorders>
              <w:top w:val="single" w:sz="4"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058844ED" w14:textId="6D5B85B7" w:rsidR="00E83769" w:rsidRPr="002164F8" w:rsidRDefault="00E83769" w:rsidP="002164F8">
            <w:pPr>
              <w:pStyle w:val="ListeParagraf"/>
              <w:spacing w:before="120" w:after="120"/>
              <w:ind w:left="0"/>
              <w:jc w:val="both"/>
              <w:rPr>
                <w:sz w:val="20"/>
                <w:szCs w:val="20"/>
              </w:rPr>
            </w:pPr>
            <w:r w:rsidRPr="002164F8">
              <w:rPr>
                <w:b/>
                <w:bCs/>
                <w:color w:val="000000"/>
                <w:sz w:val="20"/>
                <w:szCs w:val="20"/>
              </w:rPr>
              <w:t>Açıklama</w:t>
            </w:r>
          </w:p>
        </w:tc>
      </w:tr>
      <w:tr w:rsidR="00E83769" w14:paraId="757DC39D" w14:textId="77777777" w:rsidTr="00E83769">
        <w:tc>
          <w:tcPr>
            <w:tcW w:w="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175E4" w14:textId="77777777" w:rsidR="00E83769" w:rsidRPr="002164F8" w:rsidRDefault="00E83769" w:rsidP="002164F8">
            <w:pPr>
              <w:pStyle w:val="ListeParagraf"/>
              <w:spacing w:before="120" w:after="120"/>
              <w:ind w:left="0"/>
              <w:jc w:val="both"/>
              <w:rPr>
                <w:sz w:val="20"/>
                <w:szCs w:val="20"/>
              </w:rPr>
            </w:pPr>
            <w:r w:rsidRPr="002164F8">
              <w:rPr>
                <w:sz w:val="20"/>
                <w:szCs w:val="20"/>
              </w:rPr>
              <w:t>8</w:t>
            </w:r>
          </w:p>
        </w:tc>
        <w:tc>
          <w:tcPr>
            <w:tcW w:w="1950" w:type="dxa"/>
            <w:tcBorders>
              <w:top w:val="nil"/>
              <w:left w:val="nil"/>
              <w:bottom w:val="single" w:sz="8" w:space="0" w:color="auto"/>
              <w:right w:val="single" w:sz="8" w:space="0" w:color="auto"/>
            </w:tcBorders>
            <w:tcMar>
              <w:top w:w="0" w:type="dxa"/>
              <w:left w:w="108" w:type="dxa"/>
              <w:bottom w:w="0" w:type="dxa"/>
              <w:right w:w="108" w:type="dxa"/>
            </w:tcMar>
            <w:hideMark/>
          </w:tcPr>
          <w:p w14:paraId="79D48344" w14:textId="77777777" w:rsidR="00E83769" w:rsidRPr="002164F8" w:rsidRDefault="00E83769" w:rsidP="002164F8">
            <w:pPr>
              <w:pStyle w:val="ListeParagraf"/>
              <w:spacing w:before="120" w:after="120"/>
              <w:ind w:left="0"/>
              <w:jc w:val="both"/>
              <w:rPr>
                <w:sz w:val="20"/>
                <w:szCs w:val="20"/>
              </w:rPr>
            </w:pPr>
            <w:r w:rsidRPr="002164F8">
              <w:rPr>
                <w:sz w:val="20"/>
                <w:szCs w:val="20"/>
              </w:rPr>
              <w:t>Diğer Pay İhracı/İptaline İlişkin Bildirim</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8BCC6EE" w14:textId="77777777" w:rsidR="00E83769" w:rsidRPr="002164F8" w:rsidRDefault="00E83769" w:rsidP="002164F8">
            <w:pPr>
              <w:pStyle w:val="ListeParagraf"/>
              <w:spacing w:before="120" w:after="120"/>
              <w:ind w:left="0"/>
              <w:jc w:val="both"/>
              <w:rPr>
                <w:sz w:val="20"/>
                <w:szCs w:val="20"/>
              </w:rPr>
            </w:pPr>
            <w:r w:rsidRPr="002164F8">
              <w:rPr>
                <w:sz w:val="20"/>
                <w:szCs w:val="20"/>
              </w:rPr>
              <w:t>Hak Kullanım İşlemleri</w:t>
            </w:r>
          </w:p>
        </w:tc>
        <w:tc>
          <w:tcPr>
            <w:tcW w:w="9214" w:type="dxa"/>
            <w:tcBorders>
              <w:top w:val="nil"/>
              <w:left w:val="nil"/>
              <w:bottom w:val="single" w:sz="8" w:space="0" w:color="auto"/>
              <w:right w:val="single" w:sz="8" w:space="0" w:color="auto"/>
            </w:tcBorders>
            <w:tcMar>
              <w:top w:w="0" w:type="dxa"/>
              <w:left w:w="108" w:type="dxa"/>
              <w:bottom w:w="0" w:type="dxa"/>
              <w:right w:w="108" w:type="dxa"/>
            </w:tcMar>
          </w:tcPr>
          <w:p w14:paraId="062E2932" w14:textId="3566D17D" w:rsidR="00E83769" w:rsidRPr="002164F8" w:rsidRDefault="00E83769" w:rsidP="002164F8">
            <w:pPr>
              <w:pStyle w:val="ListeParagraf"/>
              <w:spacing w:before="120" w:after="120"/>
              <w:ind w:left="0"/>
              <w:jc w:val="both"/>
              <w:rPr>
                <w:sz w:val="20"/>
                <w:szCs w:val="20"/>
              </w:rPr>
            </w:pPr>
            <w:r w:rsidRPr="002164F8">
              <w:rPr>
                <w:sz w:val="20"/>
                <w:szCs w:val="20"/>
              </w:rPr>
              <w:t>Pay İhraç Tarihi, Pay İptal Tarihi, Hak Kullanımı Başlangıç Tarihi alanlarına</w:t>
            </w:r>
          </w:p>
          <w:p w14:paraId="33EF2447" w14:textId="77777777" w:rsidR="00E83769" w:rsidRPr="002164F8" w:rsidRDefault="00E83769" w:rsidP="002164F8">
            <w:pPr>
              <w:numPr>
                <w:ilvl w:val="0"/>
                <w:numId w:val="3"/>
              </w:numPr>
              <w:spacing w:before="120" w:after="120"/>
              <w:jc w:val="both"/>
              <w:rPr>
                <w:rFonts w:eastAsia="Times New Roman"/>
                <w:sz w:val="20"/>
                <w:szCs w:val="20"/>
              </w:rPr>
            </w:pPr>
            <w:r w:rsidRPr="002164F8">
              <w:rPr>
                <w:rFonts w:eastAsia="Times New Roman"/>
                <w:sz w:val="20"/>
                <w:szCs w:val="20"/>
              </w:rPr>
              <w:t xml:space="preserve">Tam iş günlerinde 16:30’dan, yarım iş günlerinde 12:00’den sonra bir sonraki iş gününün tarihi </w:t>
            </w:r>
          </w:p>
          <w:p w14:paraId="784F8BB6" w14:textId="77777777" w:rsidR="00E83769" w:rsidRPr="002164F8" w:rsidRDefault="00E83769" w:rsidP="002164F8">
            <w:pPr>
              <w:numPr>
                <w:ilvl w:val="0"/>
                <w:numId w:val="3"/>
              </w:numPr>
              <w:spacing w:before="120" w:after="120"/>
              <w:jc w:val="both"/>
              <w:rPr>
                <w:rFonts w:eastAsia="Times New Roman"/>
                <w:sz w:val="20"/>
                <w:szCs w:val="20"/>
              </w:rPr>
            </w:pPr>
            <w:r w:rsidRPr="002164F8">
              <w:rPr>
                <w:rFonts w:eastAsia="Times New Roman"/>
                <w:sz w:val="20"/>
                <w:szCs w:val="20"/>
              </w:rPr>
              <w:t xml:space="preserve">Tatil günü, yarım iş günü, bugününün tarihi veya geçmiş bir günün tarihi </w:t>
            </w:r>
          </w:p>
          <w:p w14:paraId="54F5D1C8" w14:textId="6B25BF54" w:rsidR="00E83769" w:rsidRPr="002164F8" w:rsidRDefault="00E83769" w:rsidP="002164F8">
            <w:pPr>
              <w:pStyle w:val="ListeParagraf"/>
              <w:spacing w:before="120" w:after="120"/>
              <w:ind w:left="0"/>
              <w:jc w:val="both"/>
              <w:rPr>
                <w:sz w:val="20"/>
                <w:szCs w:val="20"/>
              </w:rPr>
            </w:pPr>
            <w:r w:rsidRPr="002164F8">
              <w:rPr>
                <w:sz w:val="20"/>
                <w:szCs w:val="20"/>
              </w:rPr>
              <w:t>girilemeyecektir.</w:t>
            </w:r>
          </w:p>
        </w:tc>
      </w:tr>
      <w:tr w:rsidR="00E83769" w14:paraId="0D7AA8ED" w14:textId="77777777" w:rsidTr="00E83769">
        <w:tc>
          <w:tcPr>
            <w:tcW w:w="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655B1" w14:textId="77777777" w:rsidR="00E83769" w:rsidRPr="002164F8" w:rsidRDefault="00E83769" w:rsidP="002164F8">
            <w:pPr>
              <w:pStyle w:val="ListeParagraf"/>
              <w:spacing w:before="120" w:after="120"/>
              <w:ind w:left="0"/>
              <w:jc w:val="both"/>
              <w:rPr>
                <w:sz w:val="20"/>
                <w:szCs w:val="20"/>
              </w:rPr>
            </w:pPr>
            <w:r w:rsidRPr="002164F8">
              <w:rPr>
                <w:sz w:val="20"/>
                <w:szCs w:val="20"/>
              </w:rPr>
              <w:t>9</w:t>
            </w:r>
          </w:p>
        </w:tc>
        <w:tc>
          <w:tcPr>
            <w:tcW w:w="1950" w:type="dxa"/>
            <w:tcBorders>
              <w:top w:val="nil"/>
              <w:left w:val="nil"/>
              <w:bottom w:val="single" w:sz="8" w:space="0" w:color="auto"/>
              <w:right w:val="single" w:sz="8" w:space="0" w:color="auto"/>
            </w:tcBorders>
            <w:tcMar>
              <w:top w:w="0" w:type="dxa"/>
              <w:left w:w="108" w:type="dxa"/>
              <w:bottom w:w="0" w:type="dxa"/>
              <w:right w:w="108" w:type="dxa"/>
            </w:tcMar>
            <w:hideMark/>
          </w:tcPr>
          <w:p w14:paraId="77D26AA6" w14:textId="77777777" w:rsidR="00E83769" w:rsidRPr="002164F8" w:rsidRDefault="00E83769" w:rsidP="002164F8">
            <w:pPr>
              <w:pStyle w:val="ListeParagraf"/>
              <w:spacing w:before="120" w:after="120"/>
              <w:ind w:left="0"/>
              <w:jc w:val="both"/>
              <w:rPr>
                <w:sz w:val="20"/>
                <w:szCs w:val="20"/>
              </w:rPr>
            </w:pPr>
            <w:r w:rsidRPr="002164F8">
              <w:rPr>
                <w:sz w:val="20"/>
                <w:szCs w:val="20"/>
              </w:rPr>
              <w:t>Pay Dönüşümü İşlemlerine İlişkin Bildirim</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E524C2D" w14:textId="77777777" w:rsidR="00E83769" w:rsidRPr="002164F8" w:rsidRDefault="00E83769" w:rsidP="002164F8">
            <w:pPr>
              <w:pStyle w:val="ListeParagraf"/>
              <w:spacing w:before="120" w:after="120"/>
              <w:ind w:left="0"/>
              <w:jc w:val="both"/>
              <w:rPr>
                <w:sz w:val="20"/>
                <w:szCs w:val="20"/>
              </w:rPr>
            </w:pPr>
            <w:r w:rsidRPr="002164F8">
              <w:rPr>
                <w:sz w:val="20"/>
                <w:szCs w:val="20"/>
              </w:rPr>
              <w:t>Hak Kullanım İşlemleri</w:t>
            </w:r>
          </w:p>
        </w:tc>
        <w:tc>
          <w:tcPr>
            <w:tcW w:w="9214" w:type="dxa"/>
            <w:tcBorders>
              <w:top w:val="nil"/>
              <w:left w:val="nil"/>
              <w:bottom w:val="single" w:sz="8" w:space="0" w:color="auto"/>
              <w:right w:val="single" w:sz="8" w:space="0" w:color="auto"/>
            </w:tcBorders>
            <w:tcMar>
              <w:top w:w="0" w:type="dxa"/>
              <w:left w:w="108" w:type="dxa"/>
              <w:bottom w:w="0" w:type="dxa"/>
              <w:right w:w="108" w:type="dxa"/>
            </w:tcMar>
          </w:tcPr>
          <w:p w14:paraId="62477B65" w14:textId="46687088" w:rsidR="00E83769" w:rsidRPr="002164F8" w:rsidRDefault="00E83769" w:rsidP="002164F8">
            <w:pPr>
              <w:pStyle w:val="ListeParagraf"/>
              <w:spacing w:before="120" w:after="120"/>
              <w:ind w:left="0"/>
              <w:jc w:val="both"/>
              <w:rPr>
                <w:sz w:val="20"/>
                <w:szCs w:val="20"/>
              </w:rPr>
            </w:pPr>
            <w:r w:rsidRPr="002164F8">
              <w:rPr>
                <w:sz w:val="20"/>
                <w:szCs w:val="20"/>
              </w:rPr>
              <w:t xml:space="preserve">Geçici Kaydi Payların Kaydi Paya Dönüşüm Tarihi alanına </w:t>
            </w:r>
          </w:p>
          <w:p w14:paraId="6B55C59A" w14:textId="77777777" w:rsidR="00E83769" w:rsidRPr="002164F8" w:rsidRDefault="00E83769" w:rsidP="002164F8">
            <w:pPr>
              <w:numPr>
                <w:ilvl w:val="0"/>
                <w:numId w:val="3"/>
              </w:numPr>
              <w:spacing w:before="120" w:after="120"/>
              <w:jc w:val="both"/>
              <w:rPr>
                <w:rFonts w:eastAsia="Times New Roman"/>
                <w:sz w:val="20"/>
                <w:szCs w:val="20"/>
              </w:rPr>
            </w:pPr>
            <w:r w:rsidRPr="002164F8">
              <w:rPr>
                <w:rFonts w:eastAsia="Times New Roman"/>
                <w:sz w:val="20"/>
                <w:szCs w:val="20"/>
              </w:rPr>
              <w:t xml:space="preserve">Tam iş günlerinde 16:30’dan, yarım iş günlerinde 12:00’den sonra bir sonraki iş gününün tarihi </w:t>
            </w:r>
          </w:p>
          <w:p w14:paraId="548AA512" w14:textId="77777777" w:rsidR="00E83769" w:rsidRPr="002164F8" w:rsidRDefault="00E83769" w:rsidP="002164F8">
            <w:pPr>
              <w:numPr>
                <w:ilvl w:val="0"/>
                <w:numId w:val="3"/>
              </w:numPr>
              <w:spacing w:before="120" w:after="120"/>
              <w:jc w:val="both"/>
              <w:rPr>
                <w:rFonts w:eastAsia="Times New Roman"/>
                <w:sz w:val="20"/>
                <w:szCs w:val="20"/>
              </w:rPr>
            </w:pPr>
            <w:r w:rsidRPr="002164F8">
              <w:rPr>
                <w:rFonts w:eastAsia="Times New Roman"/>
                <w:sz w:val="20"/>
                <w:szCs w:val="20"/>
              </w:rPr>
              <w:t xml:space="preserve">Tatil günü, yarım iş günü, bugününün tarihi veya geçmiş bir günün tarihi </w:t>
            </w:r>
          </w:p>
          <w:p w14:paraId="19B69B90" w14:textId="2229F17A" w:rsidR="00E83769" w:rsidRPr="002164F8" w:rsidRDefault="00E83769" w:rsidP="002164F8">
            <w:pPr>
              <w:pStyle w:val="ListeParagraf"/>
              <w:spacing w:before="120" w:after="120"/>
              <w:ind w:left="0"/>
              <w:jc w:val="both"/>
              <w:rPr>
                <w:sz w:val="20"/>
                <w:szCs w:val="20"/>
              </w:rPr>
            </w:pPr>
            <w:r w:rsidRPr="002164F8">
              <w:rPr>
                <w:sz w:val="20"/>
                <w:szCs w:val="20"/>
              </w:rPr>
              <w:t>girilemeyecektir.</w:t>
            </w:r>
          </w:p>
        </w:tc>
      </w:tr>
      <w:tr w:rsidR="00E83769" w14:paraId="4169448A" w14:textId="77777777" w:rsidTr="00E83769">
        <w:tc>
          <w:tcPr>
            <w:tcW w:w="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AF35C2" w14:textId="77777777" w:rsidR="00E83769" w:rsidRPr="002164F8" w:rsidRDefault="00E83769" w:rsidP="002164F8">
            <w:pPr>
              <w:pStyle w:val="ListeParagraf"/>
              <w:spacing w:before="120" w:after="120"/>
              <w:ind w:left="0"/>
              <w:jc w:val="both"/>
              <w:rPr>
                <w:sz w:val="20"/>
                <w:szCs w:val="20"/>
              </w:rPr>
            </w:pPr>
            <w:r w:rsidRPr="002164F8">
              <w:rPr>
                <w:sz w:val="20"/>
                <w:szCs w:val="20"/>
              </w:rPr>
              <w:t>10</w:t>
            </w:r>
          </w:p>
        </w:tc>
        <w:tc>
          <w:tcPr>
            <w:tcW w:w="1950" w:type="dxa"/>
            <w:tcBorders>
              <w:top w:val="nil"/>
              <w:left w:val="nil"/>
              <w:bottom w:val="single" w:sz="8" w:space="0" w:color="auto"/>
              <w:right w:val="single" w:sz="8" w:space="0" w:color="auto"/>
            </w:tcBorders>
            <w:tcMar>
              <w:top w:w="0" w:type="dxa"/>
              <w:left w:w="108" w:type="dxa"/>
              <w:bottom w:w="0" w:type="dxa"/>
              <w:right w:w="108" w:type="dxa"/>
            </w:tcMar>
            <w:hideMark/>
          </w:tcPr>
          <w:p w14:paraId="1DAE2D05" w14:textId="77777777" w:rsidR="00E83769" w:rsidRPr="002164F8" w:rsidRDefault="00E83769" w:rsidP="002164F8">
            <w:pPr>
              <w:pStyle w:val="ListeParagraf"/>
              <w:spacing w:before="120" w:after="120"/>
              <w:ind w:left="0"/>
              <w:jc w:val="both"/>
              <w:rPr>
                <w:sz w:val="20"/>
                <w:szCs w:val="20"/>
              </w:rPr>
            </w:pPr>
            <w:r w:rsidRPr="002164F8">
              <w:rPr>
                <w:sz w:val="20"/>
                <w:szCs w:val="20"/>
              </w:rPr>
              <w:t>Pay Dışında Sermaye Piyasası aracı İşlemlerine İlişkin Bildirim (Faiz İçeren)</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E01CE9E" w14:textId="77777777" w:rsidR="00E83769" w:rsidRPr="002164F8" w:rsidRDefault="00E83769" w:rsidP="002164F8">
            <w:pPr>
              <w:pStyle w:val="ListeParagraf"/>
              <w:spacing w:before="120" w:after="120"/>
              <w:ind w:left="0"/>
              <w:jc w:val="both"/>
              <w:rPr>
                <w:sz w:val="20"/>
                <w:szCs w:val="20"/>
              </w:rPr>
            </w:pPr>
            <w:r w:rsidRPr="002164F8">
              <w:rPr>
                <w:sz w:val="20"/>
                <w:szCs w:val="20"/>
              </w:rPr>
              <w:t>Hak Kullanım İşlemleri</w:t>
            </w:r>
          </w:p>
        </w:tc>
        <w:tc>
          <w:tcPr>
            <w:tcW w:w="9214" w:type="dxa"/>
            <w:tcBorders>
              <w:top w:val="nil"/>
              <w:left w:val="nil"/>
              <w:bottom w:val="single" w:sz="8" w:space="0" w:color="auto"/>
              <w:right w:val="single" w:sz="8" w:space="0" w:color="auto"/>
            </w:tcBorders>
            <w:tcMar>
              <w:top w:w="0" w:type="dxa"/>
              <w:left w:w="108" w:type="dxa"/>
              <w:bottom w:w="0" w:type="dxa"/>
              <w:right w:w="108" w:type="dxa"/>
            </w:tcMar>
            <w:hideMark/>
          </w:tcPr>
          <w:p w14:paraId="168D2560" w14:textId="7FE5B52D" w:rsidR="00E83769" w:rsidRPr="002164F8" w:rsidRDefault="00E83769" w:rsidP="00E83769">
            <w:pPr>
              <w:pStyle w:val="ListeParagraf"/>
              <w:numPr>
                <w:ilvl w:val="0"/>
                <w:numId w:val="15"/>
              </w:numPr>
              <w:spacing w:before="120" w:after="120"/>
              <w:ind w:left="461"/>
              <w:jc w:val="both"/>
              <w:rPr>
                <w:sz w:val="20"/>
                <w:szCs w:val="20"/>
              </w:rPr>
            </w:pPr>
            <w:r w:rsidRPr="002164F8">
              <w:rPr>
                <w:sz w:val="20"/>
                <w:szCs w:val="20"/>
              </w:rPr>
              <w:t>Yurtdışı ihraçlarda ihraç birden fazla ISIN kodu ile gerçekleşmiş ise, her ISIN için ayrı hak kullanım süreci başlatılması gerektiği yönünde uyarı eklenmiştir.</w:t>
            </w:r>
          </w:p>
          <w:p w14:paraId="3FDF875A" w14:textId="747DDBA0" w:rsidR="00E83769" w:rsidRPr="002164F8" w:rsidRDefault="00E83769" w:rsidP="00E83769">
            <w:pPr>
              <w:pStyle w:val="ListeParagraf"/>
              <w:numPr>
                <w:ilvl w:val="0"/>
                <w:numId w:val="15"/>
              </w:numPr>
              <w:spacing w:before="120" w:after="120"/>
              <w:ind w:left="461"/>
              <w:jc w:val="both"/>
              <w:rPr>
                <w:rFonts w:ascii="-apple-system" w:hAnsi="-apple-system"/>
                <w:color w:val="172B4D"/>
                <w:sz w:val="20"/>
                <w:szCs w:val="20"/>
                <w:shd w:val="clear" w:color="auto" w:fill="FFFFFF"/>
              </w:rPr>
            </w:pPr>
            <w:r w:rsidRPr="002164F8">
              <w:rPr>
                <w:sz w:val="20"/>
                <w:szCs w:val="20"/>
              </w:rPr>
              <w:t>Devam eden süreçlerde Bildirim Konusu</w:t>
            </w:r>
            <w:r w:rsidRPr="002164F8">
              <w:rPr>
                <w:color w:val="1F497D"/>
                <w:sz w:val="20"/>
                <w:szCs w:val="20"/>
              </w:rPr>
              <w:t xml:space="preserve">, </w:t>
            </w:r>
            <w:r w:rsidRPr="002164F8">
              <w:rPr>
                <w:sz w:val="20"/>
                <w:szCs w:val="20"/>
              </w:rPr>
              <w:t>bir önceki bildirim konusu yerine “Seçim Yapınız” olarak gelecek ve her bildirimde konuya uygun olarak yeniden seçilecektir.</w:t>
            </w:r>
            <w:r w:rsidRPr="002164F8">
              <w:rPr>
                <w:rFonts w:ascii="-apple-system" w:hAnsi="-apple-system"/>
                <w:color w:val="172B4D"/>
                <w:sz w:val="20"/>
                <w:szCs w:val="20"/>
                <w:shd w:val="clear" w:color="auto" w:fill="FFFFFF"/>
              </w:rPr>
              <w:t xml:space="preserve"> </w:t>
            </w:r>
          </w:p>
          <w:p w14:paraId="7D58595D" w14:textId="29E5A287" w:rsidR="00E83769" w:rsidRPr="002164F8" w:rsidRDefault="00E83769" w:rsidP="00E83769">
            <w:pPr>
              <w:pStyle w:val="ListeParagraf"/>
              <w:numPr>
                <w:ilvl w:val="0"/>
                <w:numId w:val="15"/>
              </w:numPr>
              <w:spacing w:before="120" w:after="120"/>
              <w:ind w:left="461"/>
              <w:jc w:val="both"/>
              <w:rPr>
                <w:sz w:val="20"/>
                <w:szCs w:val="20"/>
              </w:rPr>
            </w:pPr>
            <w:r w:rsidRPr="002164F8">
              <w:rPr>
                <w:sz w:val="20"/>
                <w:szCs w:val="20"/>
              </w:rPr>
              <w:t xml:space="preserve"> Ek Getiri alanı virgülden sonra iki hane girilecek şekilde nümerik hale getirilmiştir. Değişken Faiz olarak OTHR seçildiğinde bu alan inaktif olacak ve seçime ilişkin detaylı açıklama Ek Açıklamalar alanına girilecektir.</w:t>
            </w:r>
          </w:p>
        </w:tc>
      </w:tr>
      <w:tr w:rsidR="00E83769" w14:paraId="7794E5C3" w14:textId="77777777" w:rsidTr="00E83769">
        <w:tc>
          <w:tcPr>
            <w:tcW w:w="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77306E" w14:textId="77777777" w:rsidR="00E83769" w:rsidRPr="002164F8" w:rsidRDefault="00E83769" w:rsidP="002164F8">
            <w:pPr>
              <w:pStyle w:val="ListeParagraf"/>
              <w:spacing w:before="120" w:after="120"/>
              <w:ind w:left="0"/>
              <w:jc w:val="both"/>
              <w:rPr>
                <w:sz w:val="20"/>
                <w:szCs w:val="20"/>
              </w:rPr>
            </w:pPr>
            <w:r w:rsidRPr="002164F8">
              <w:rPr>
                <w:sz w:val="20"/>
                <w:szCs w:val="20"/>
              </w:rPr>
              <w:t>11</w:t>
            </w:r>
          </w:p>
        </w:tc>
        <w:tc>
          <w:tcPr>
            <w:tcW w:w="1950" w:type="dxa"/>
            <w:tcBorders>
              <w:top w:val="nil"/>
              <w:left w:val="nil"/>
              <w:bottom w:val="single" w:sz="8" w:space="0" w:color="auto"/>
              <w:right w:val="single" w:sz="8" w:space="0" w:color="auto"/>
            </w:tcBorders>
            <w:tcMar>
              <w:top w:w="0" w:type="dxa"/>
              <w:left w:w="108" w:type="dxa"/>
              <w:bottom w:w="0" w:type="dxa"/>
              <w:right w:w="108" w:type="dxa"/>
            </w:tcMar>
            <w:hideMark/>
          </w:tcPr>
          <w:p w14:paraId="3D89E50C" w14:textId="77777777" w:rsidR="00E83769" w:rsidRPr="002164F8" w:rsidRDefault="00E83769" w:rsidP="002164F8">
            <w:pPr>
              <w:pStyle w:val="ListeParagraf"/>
              <w:spacing w:before="120" w:after="120"/>
              <w:ind w:left="0"/>
              <w:jc w:val="both"/>
              <w:rPr>
                <w:sz w:val="20"/>
                <w:szCs w:val="20"/>
              </w:rPr>
            </w:pPr>
            <w:r w:rsidRPr="002164F8">
              <w:rPr>
                <w:sz w:val="20"/>
                <w:szCs w:val="20"/>
              </w:rPr>
              <w:t>Pay Dışında Sermaye Piyasası aracı İşlemlerine İlişkin Bildirim (Faizsiz)</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E24C537" w14:textId="77777777" w:rsidR="00E83769" w:rsidRPr="002164F8" w:rsidRDefault="00E83769" w:rsidP="002164F8">
            <w:pPr>
              <w:pStyle w:val="ListeParagraf"/>
              <w:spacing w:before="120" w:after="120"/>
              <w:ind w:left="0"/>
              <w:jc w:val="both"/>
              <w:rPr>
                <w:sz w:val="20"/>
                <w:szCs w:val="20"/>
              </w:rPr>
            </w:pPr>
            <w:r w:rsidRPr="002164F8">
              <w:rPr>
                <w:sz w:val="20"/>
                <w:szCs w:val="20"/>
              </w:rPr>
              <w:t>Hak Kullanım İşlemleri</w:t>
            </w:r>
          </w:p>
        </w:tc>
        <w:tc>
          <w:tcPr>
            <w:tcW w:w="9214" w:type="dxa"/>
            <w:tcBorders>
              <w:top w:val="nil"/>
              <w:left w:val="nil"/>
              <w:bottom w:val="single" w:sz="8" w:space="0" w:color="auto"/>
              <w:right w:val="single" w:sz="8" w:space="0" w:color="auto"/>
            </w:tcBorders>
            <w:tcMar>
              <w:top w:w="0" w:type="dxa"/>
              <w:left w:w="108" w:type="dxa"/>
              <w:bottom w:w="0" w:type="dxa"/>
              <w:right w:w="108" w:type="dxa"/>
            </w:tcMar>
          </w:tcPr>
          <w:p w14:paraId="2FABE54F" w14:textId="077A5CAE" w:rsidR="00E83769" w:rsidRPr="00E83769" w:rsidRDefault="00E83769" w:rsidP="00E83769">
            <w:pPr>
              <w:pStyle w:val="ListeParagraf"/>
              <w:numPr>
                <w:ilvl w:val="0"/>
                <w:numId w:val="17"/>
              </w:numPr>
              <w:spacing w:before="120" w:after="120"/>
              <w:ind w:left="461"/>
              <w:jc w:val="both"/>
              <w:rPr>
                <w:sz w:val="20"/>
                <w:szCs w:val="20"/>
              </w:rPr>
            </w:pPr>
            <w:r w:rsidRPr="00E83769">
              <w:rPr>
                <w:sz w:val="20"/>
                <w:szCs w:val="20"/>
              </w:rPr>
              <w:t>Yurtdışı ihraçlarda ihraç birden fazla ISIN kodu ile gerçekleşmiş ise, her ISIN için ayrı hak kullanım süreci başlatılması gerektiği yönünde uyarı eklenmiştir.</w:t>
            </w:r>
          </w:p>
          <w:p w14:paraId="7088D6AC" w14:textId="6AC856B4" w:rsidR="00E83769" w:rsidRPr="00E83769" w:rsidRDefault="00E83769" w:rsidP="00E83769">
            <w:pPr>
              <w:pStyle w:val="ListeParagraf"/>
              <w:numPr>
                <w:ilvl w:val="0"/>
                <w:numId w:val="17"/>
              </w:numPr>
              <w:spacing w:before="120" w:after="120"/>
              <w:ind w:left="461"/>
              <w:jc w:val="both"/>
              <w:rPr>
                <w:sz w:val="20"/>
                <w:szCs w:val="20"/>
              </w:rPr>
            </w:pPr>
            <w:r w:rsidRPr="00E83769">
              <w:rPr>
                <w:sz w:val="20"/>
                <w:szCs w:val="20"/>
              </w:rPr>
              <w:t>Yurtdışı ihraçlarda da Fon Kullanıcı, Kurucu, Kaynak Kuruluş bilgileri girilecektir.</w:t>
            </w:r>
          </w:p>
          <w:p w14:paraId="4CA06F8E" w14:textId="37345090" w:rsidR="00E83769" w:rsidRPr="002164F8" w:rsidRDefault="00E83769" w:rsidP="00E83769">
            <w:pPr>
              <w:pStyle w:val="ListeParagraf"/>
              <w:numPr>
                <w:ilvl w:val="0"/>
                <w:numId w:val="17"/>
              </w:numPr>
              <w:spacing w:before="120" w:after="120"/>
              <w:ind w:left="461"/>
              <w:jc w:val="both"/>
              <w:rPr>
                <w:rFonts w:ascii="-apple-system" w:hAnsi="-apple-system"/>
                <w:color w:val="172B4D"/>
                <w:sz w:val="20"/>
                <w:szCs w:val="20"/>
                <w:shd w:val="clear" w:color="auto" w:fill="FFFFFF"/>
              </w:rPr>
            </w:pPr>
            <w:r w:rsidRPr="002164F8">
              <w:rPr>
                <w:sz w:val="20"/>
                <w:szCs w:val="20"/>
              </w:rPr>
              <w:t>Devam eden süreçlerde Bildirim Konusu</w:t>
            </w:r>
            <w:r w:rsidRPr="002164F8">
              <w:rPr>
                <w:color w:val="1F497D"/>
                <w:sz w:val="20"/>
                <w:szCs w:val="20"/>
              </w:rPr>
              <w:t xml:space="preserve">, </w:t>
            </w:r>
            <w:r w:rsidRPr="002164F8">
              <w:rPr>
                <w:sz w:val="20"/>
                <w:szCs w:val="20"/>
              </w:rPr>
              <w:t>bir önceki bildirim konusu yerine “Seçim Yapınız” olarak gelecek ve her bildirimde konuya uygun olarak yeniden seçilecektir.</w:t>
            </w:r>
            <w:r w:rsidRPr="002164F8">
              <w:rPr>
                <w:rFonts w:ascii="-apple-system" w:hAnsi="-apple-system"/>
                <w:color w:val="172B4D"/>
                <w:sz w:val="20"/>
                <w:szCs w:val="20"/>
                <w:shd w:val="clear" w:color="auto" w:fill="FFFFFF"/>
              </w:rPr>
              <w:t xml:space="preserve"> </w:t>
            </w:r>
          </w:p>
          <w:p w14:paraId="41E48A28" w14:textId="77777777" w:rsidR="00E83769" w:rsidRPr="002164F8" w:rsidRDefault="00E83769" w:rsidP="002164F8">
            <w:pPr>
              <w:spacing w:before="120" w:after="120"/>
              <w:jc w:val="both"/>
              <w:rPr>
                <w:b/>
                <w:bCs/>
                <w:sz w:val="20"/>
                <w:szCs w:val="20"/>
              </w:rPr>
            </w:pPr>
          </w:p>
        </w:tc>
      </w:tr>
    </w:tbl>
    <w:p w14:paraId="68E2849B" w14:textId="77777777" w:rsidR="00AA18D6" w:rsidRDefault="00AA18D6"/>
    <w:sectPr w:rsidR="00AA18D6" w:rsidSect="003F7D4D">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5BB68" w14:textId="77777777" w:rsidR="0011534A" w:rsidRDefault="0011534A" w:rsidP="003F7D4D">
      <w:r>
        <w:separator/>
      </w:r>
    </w:p>
  </w:endnote>
  <w:endnote w:type="continuationSeparator" w:id="0">
    <w:p w14:paraId="7DF527AE" w14:textId="77777777" w:rsidR="0011534A" w:rsidRDefault="0011534A" w:rsidP="003F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pple-system">
    <w:altName w:val="Times New Roman"/>
    <w:charset w:val="00"/>
    <w:family w:val="auto"/>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TBClassification"/>
      <w:id w:val="-2028019460"/>
      <w:lock w:val="sdtContentLocked"/>
      <w:placeholder>
        <w:docPart w:val="DefaultPlaceholder_-1854013440"/>
      </w:placeholder>
    </w:sdtPr>
    <w:sdtEndPr/>
    <w:sdtContent>
      <w:p w14:paraId="0A5DBB82" w14:textId="77777777" w:rsidR="003F7D4D" w:rsidRDefault="003F7D4D" w:rsidP="003F7D4D">
        <w:pPr>
          <w:pStyle w:val="AltBilgi"/>
        </w:pPr>
        <w:r w:rsidRPr="003F7D4D">
          <w:rPr>
            <w:rFonts w:ascii="Arial" w:hAnsi="Arial" w:cs="Arial"/>
            <w:b/>
            <w:color w:val="000000"/>
            <w:sz w:val="24"/>
          </w:rPr>
          <w:t>Sınıflandırma:</w:t>
        </w:r>
        <w:r w:rsidRPr="003F7D4D">
          <w:rPr>
            <w:rFonts w:ascii="Arial" w:hAnsi="Arial" w:cs="Arial"/>
            <w:color w:val="000000"/>
            <w:sz w:val="24"/>
          </w:rPr>
          <w:t xml:space="preserve"> </w:t>
        </w:r>
        <w:r w:rsidRPr="003F7D4D">
          <w:rPr>
            <w:rFonts w:ascii="Arial" w:hAnsi="Arial" w:cs="Arial"/>
            <w:b/>
            <w:color w:val="FF0000"/>
            <w:sz w:val="24"/>
          </w:rPr>
          <w:t>Tasnif Dısı/Unclassified</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89367"/>
      <w:docPartObj>
        <w:docPartGallery w:val="Page Numbers (Bottom of Page)"/>
        <w:docPartUnique/>
      </w:docPartObj>
    </w:sdtPr>
    <w:sdtEndPr>
      <w:rPr>
        <w:sz w:val="18"/>
        <w:szCs w:val="18"/>
      </w:rPr>
    </w:sdtEndPr>
    <w:sdtContent>
      <w:p w14:paraId="72F75D14" w14:textId="6452C5C7" w:rsidR="002164F8" w:rsidRPr="002164F8" w:rsidRDefault="002164F8">
        <w:pPr>
          <w:pStyle w:val="AltBilgi"/>
          <w:jc w:val="center"/>
          <w:rPr>
            <w:sz w:val="18"/>
            <w:szCs w:val="18"/>
          </w:rPr>
        </w:pPr>
        <w:r w:rsidRPr="002164F8">
          <w:rPr>
            <w:sz w:val="18"/>
            <w:szCs w:val="18"/>
          </w:rPr>
          <w:fldChar w:fldCharType="begin"/>
        </w:r>
        <w:r w:rsidRPr="002164F8">
          <w:rPr>
            <w:sz w:val="18"/>
            <w:szCs w:val="18"/>
          </w:rPr>
          <w:instrText>PAGE   \* MERGEFORMAT</w:instrText>
        </w:r>
        <w:r w:rsidRPr="002164F8">
          <w:rPr>
            <w:sz w:val="18"/>
            <w:szCs w:val="18"/>
          </w:rPr>
          <w:fldChar w:fldCharType="separate"/>
        </w:r>
        <w:r w:rsidR="000420CF">
          <w:rPr>
            <w:noProof/>
            <w:sz w:val="18"/>
            <w:szCs w:val="18"/>
          </w:rPr>
          <w:t>5</w:t>
        </w:r>
        <w:r w:rsidRPr="002164F8">
          <w:rPr>
            <w:sz w:val="18"/>
            <w:szCs w:val="18"/>
          </w:rPr>
          <w:fldChar w:fldCharType="end"/>
        </w:r>
      </w:p>
    </w:sdtContent>
  </w:sdt>
  <w:sdt>
    <w:sdtPr>
      <w:tag w:val="GTBClassification"/>
      <w:id w:val="1678156895"/>
      <w:lock w:val="sdtContentLocked"/>
      <w:placeholder>
        <w:docPart w:val="DefaultPlaceholder_-1854013440"/>
      </w:placeholder>
    </w:sdtPr>
    <w:sdtEndPr/>
    <w:sdtContent>
      <w:p w14:paraId="181F9665" w14:textId="77777777" w:rsidR="003F7D4D" w:rsidRDefault="003F7D4D" w:rsidP="003F7D4D">
        <w:pPr>
          <w:pStyle w:val="AltBilgi"/>
        </w:pPr>
        <w:r w:rsidRPr="003F7D4D">
          <w:rPr>
            <w:rFonts w:ascii="Arial" w:hAnsi="Arial" w:cs="Arial"/>
            <w:b/>
            <w:color w:val="000000"/>
            <w:sz w:val="24"/>
          </w:rPr>
          <w:t>Sınıflandırma:</w:t>
        </w:r>
        <w:r w:rsidRPr="003F7D4D">
          <w:rPr>
            <w:rFonts w:ascii="Arial" w:hAnsi="Arial" w:cs="Arial"/>
            <w:color w:val="000000"/>
            <w:sz w:val="24"/>
          </w:rPr>
          <w:t xml:space="preserve"> </w:t>
        </w:r>
        <w:r w:rsidRPr="003F7D4D">
          <w:rPr>
            <w:rFonts w:ascii="Arial" w:hAnsi="Arial" w:cs="Arial"/>
            <w:b/>
            <w:color w:val="FF0000"/>
            <w:sz w:val="24"/>
          </w:rPr>
          <w:t>Tasnif Dısı/Unclassified</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TBClassification"/>
      <w:id w:val="177168573"/>
      <w:lock w:val="sdtContentLocked"/>
      <w:placeholder>
        <w:docPart w:val="DefaultPlaceholder_-1854013440"/>
      </w:placeholder>
    </w:sdtPr>
    <w:sdtEndPr/>
    <w:sdtContent>
      <w:p w14:paraId="49B1F054" w14:textId="77777777" w:rsidR="003F7D4D" w:rsidRDefault="003F7D4D" w:rsidP="003F7D4D">
        <w:pPr>
          <w:pStyle w:val="AltBilgi"/>
        </w:pPr>
        <w:r w:rsidRPr="003F7D4D">
          <w:rPr>
            <w:rFonts w:ascii="Arial" w:hAnsi="Arial" w:cs="Arial"/>
            <w:b/>
            <w:color w:val="000000"/>
            <w:sz w:val="24"/>
          </w:rPr>
          <w:t>Sınıflandırma:</w:t>
        </w:r>
        <w:r w:rsidRPr="003F7D4D">
          <w:rPr>
            <w:rFonts w:ascii="Arial" w:hAnsi="Arial" w:cs="Arial"/>
            <w:color w:val="000000"/>
            <w:sz w:val="24"/>
          </w:rPr>
          <w:t xml:space="preserve"> </w:t>
        </w:r>
        <w:r w:rsidRPr="003F7D4D">
          <w:rPr>
            <w:rFonts w:ascii="Arial" w:hAnsi="Arial" w:cs="Arial"/>
            <w:b/>
            <w:color w:val="FF0000"/>
            <w:sz w:val="24"/>
          </w:rPr>
          <w:t>Tasnif Dısı/Unclassified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6EAEB" w14:textId="77777777" w:rsidR="0011534A" w:rsidRDefault="0011534A" w:rsidP="003F7D4D">
      <w:r>
        <w:separator/>
      </w:r>
    </w:p>
  </w:footnote>
  <w:footnote w:type="continuationSeparator" w:id="0">
    <w:p w14:paraId="33A20B44" w14:textId="77777777" w:rsidR="0011534A" w:rsidRDefault="0011534A" w:rsidP="003F7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FD63E" w14:textId="77777777" w:rsidR="002164F8" w:rsidRDefault="002164F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1FB87" w14:textId="77777777" w:rsidR="002164F8" w:rsidRDefault="002164F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59D21" w14:textId="77777777" w:rsidR="002164F8" w:rsidRDefault="002164F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6700"/>
    <w:multiLevelType w:val="multilevel"/>
    <w:tmpl w:val="8C1EF5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1E167F"/>
    <w:multiLevelType w:val="hybridMultilevel"/>
    <w:tmpl w:val="5CF81A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9C64DB"/>
    <w:multiLevelType w:val="hybridMultilevel"/>
    <w:tmpl w:val="FCB8DD8C"/>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50A535D"/>
    <w:multiLevelType w:val="hybridMultilevel"/>
    <w:tmpl w:val="7450A2E0"/>
    <w:lvl w:ilvl="0" w:tplc="041F0001">
      <w:start w:val="1"/>
      <w:numFmt w:val="bullet"/>
      <w:lvlText w:val=""/>
      <w:lvlJc w:val="left"/>
      <w:pPr>
        <w:ind w:left="720" w:hanging="360"/>
      </w:pPr>
      <w:rPr>
        <w:rFonts w:ascii="Symbol" w:hAnsi="Symbol" w:hint="default"/>
      </w:rPr>
    </w:lvl>
    <w:lvl w:ilvl="1" w:tplc="A0E4ED1A">
      <w:numFmt w:val="bullet"/>
      <w:lvlText w:val="-"/>
      <w:lvlJc w:val="left"/>
      <w:pPr>
        <w:ind w:left="1440" w:hanging="360"/>
      </w:pPr>
      <w:rPr>
        <w:rFonts w:ascii="Calibri" w:eastAsiaTheme="minorHAnsi"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5C6C46"/>
    <w:multiLevelType w:val="hybridMultilevel"/>
    <w:tmpl w:val="29782780"/>
    <w:lvl w:ilvl="0" w:tplc="D616830E">
      <w:numFmt w:val="bullet"/>
      <w:lvlText w:val="-"/>
      <w:lvlJc w:val="left"/>
      <w:pPr>
        <w:ind w:left="720" w:hanging="360"/>
      </w:pPr>
      <w:rPr>
        <w:rFonts w:ascii="Calibri" w:eastAsiaTheme="minorHAnsi" w:hAnsi="Calibri" w:cs="Calibri"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A646D04"/>
    <w:multiLevelType w:val="hybridMultilevel"/>
    <w:tmpl w:val="6C020346"/>
    <w:lvl w:ilvl="0" w:tplc="B3EE3AF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2C08B6"/>
    <w:multiLevelType w:val="hybridMultilevel"/>
    <w:tmpl w:val="ADBA35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8361E1D"/>
    <w:multiLevelType w:val="hybridMultilevel"/>
    <w:tmpl w:val="CAD282D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39EF53F1"/>
    <w:multiLevelType w:val="hybridMultilevel"/>
    <w:tmpl w:val="BC42A618"/>
    <w:lvl w:ilvl="0" w:tplc="1EE0FB6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59B0E23"/>
    <w:multiLevelType w:val="hybridMultilevel"/>
    <w:tmpl w:val="9A620EF2"/>
    <w:lvl w:ilvl="0" w:tplc="4CB88AC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F274DFA"/>
    <w:multiLevelType w:val="hybridMultilevel"/>
    <w:tmpl w:val="577A45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FAC4359"/>
    <w:multiLevelType w:val="hybridMultilevel"/>
    <w:tmpl w:val="FF84044A"/>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15:restartNumberingAfterBreak="0">
    <w:nsid w:val="50786415"/>
    <w:multiLevelType w:val="hybridMultilevel"/>
    <w:tmpl w:val="AB58FA3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6C86FCD"/>
    <w:multiLevelType w:val="hybridMultilevel"/>
    <w:tmpl w:val="958C7F8A"/>
    <w:lvl w:ilvl="0" w:tplc="041F0001">
      <w:start w:val="1"/>
      <w:numFmt w:val="bullet"/>
      <w:lvlText w:val=""/>
      <w:lvlJc w:val="left"/>
      <w:pPr>
        <w:ind w:left="720" w:hanging="360"/>
      </w:pPr>
      <w:rPr>
        <w:rFonts w:ascii="Symbol" w:hAnsi="Symbol" w:hint="default"/>
      </w:rPr>
    </w:lvl>
    <w:lvl w:ilvl="1" w:tplc="32A44496">
      <w:numFmt w:val="bullet"/>
      <w:lvlText w:val="-"/>
      <w:lvlJc w:val="left"/>
      <w:pPr>
        <w:ind w:left="1440" w:hanging="360"/>
      </w:pPr>
      <w:rPr>
        <w:rFonts w:ascii="Calibri" w:eastAsiaTheme="minorHAnsi"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C5600D4"/>
    <w:multiLevelType w:val="hybridMultilevel"/>
    <w:tmpl w:val="F4863E46"/>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6C74682C"/>
    <w:multiLevelType w:val="hybridMultilevel"/>
    <w:tmpl w:val="199CE7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C411399"/>
    <w:multiLevelType w:val="hybridMultilevel"/>
    <w:tmpl w:val="12A0D5E8"/>
    <w:lvl w:ilvl="0" w:tplc="23668B1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F1F2DB5"/>
    <w:multiLevelType w:val="hybridMultilevel"/>
    <w:tmpl w:val="5DDC3E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
  </w:num>
  <w:num w:numId="4">
    <w:abstractNumId w:val="11"/>
  </w:num>
  <w:num w:numId="5">
    <w:abstractNumId w:val="4"/>
  </w:num>
  <w:num w:numId="6">
    <w:abstractNumId w:val="7"/>
  </w:num>
  <w:num w:numId="7">
    <w:abstractNumId w:val="9"/>
  </w:num>
  <w:num w:numId="8">
    <w:abstractNumId w:val="1"/>
  </w:num>
  <w:num w:numId="9">
    <w:abstractNumId w:val="3"/>
  </w:num>
  <w:num w:numId="10">
    <w:abstractNumId w:val="13"/>
  </w:num>
  <w:num w:numId="11">
    <w:abstractNumId w:val="12"/>
  </w:num>
  <w:num w:numId="12">
    <w:abstractNumId w:val="17"/>
  </w:num>
  <w:num w:numId="13">
    <w:abstractNumId w:val="8"/>
  </w:num>
  <w:num w:numId="14">
    <w:abstractNumId w:val="15"/>
  </w:num>
  <w:num w:numId="15">
    <w:abstractNumId w:val="10"/>
  </w:num>
  <w:num w:numId="16">
    <w:abstractNumId w:val="5"/>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D4D"/>
    <w:rsid w:val="000420CF"/>
    <w:rsid w:val="0011534A"/>
    <w:rsid w:val="002164F8"/>
    <w:rsid w:val="002D000B"/>
    <w:rsid w:val="003F7D4D"/>
    <w:rsid w:val="0069128F"/>
    <w:rsid w:val="007A132B"/>
    <w:rsid w:val="007D19A0"/>
    <w:rsid w:val="00895D70"/>
    <w:rsid w:val="00AA18D6"/>
    <w:rsid w:val="00BA304C"/>
    <w:rsid w:val="00E837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A5502"/>
  <w15:chartTrackingRefBased/>
  <w15:docId w15:val="{BD683A25-5317-43A0-BBCD-D2BCD6F1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D4D"/>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F7D4D"/>
    <w:pPr>
      <w:spacing w:before="100" w:beforeAutospacing="1" w:after="100" w:afterAutospacing="1"/>
    </w:pPr>
    <w:rPr>
      <w:rFonts w:ascii="Times New Roman" w:hAnsi="Times New Roman" w:cs="Times New Roman"/>
      <w:sz w:val="24"/>
      <w:szCs w:val="24"/>
      <w:lang w:eastAsia="tr-TR"/>
    </w:rPr>
  </w:style>
  <w:style w:type="paragraph" w:styleId="ListeParagraf">
    <w:name w:val="List Paragraph"/>
    <w:basedOn w:val="Normal"/>
    <w:uiPriority w:val="34"/>
    <w:qFormat/>
    <w:rsid w:val="003F7D4D"/>
    <w:pPr>
      <w:ind w:left="720"/>
    </w:pPr>
  </w:style>
  <w:style w:type="paragraph" w:styleId="stBilgi">
    <w:name w:val="header"/>
    <w:basedOn w:val="Normal"/>
    <w:link w:val="stBilgiChar"/>
    <w:uiPriority w:val="99"/>
    <w:unhideWhenUsed/>
    <w:rsid w:val="003F7D4D"/>
    <w:pPr>
      <w:tabs>
        <w:tab w:val="center" w:pos="4536"/>
        <w:tab w:val="right" w:pos="9072"/>
      </w:tabs>
    </w:pPr>
  </w:style>
  <w:style w:type="character" w:customStyle="1" w:styleId="stBilgiChar">
    <w:name w:val="Üst Bilgi Char"/>
    <w:basedOn w:val="VarsaylanParagrafYazTipi"/>
    <w:link w:val="stBilgi"/>
    <w:uiPriority w:val="99"/>
    <w:rsid w:val="003F7D4D"/>
    <w:rPr>
      <w:rFonts w:ascii="Calibri" w:hAnsi="Calibri" w:cs="Calibri"/>
    </w:rPr>
  </w:style>
  <w:style w:type="paragraph" w:styleId="AltBilgi">
    <w:name w:val="footer"/>
    <w:basedOn w:val="Normal"/>
    <w:link w:val="AltBilgiChar"/>
    <w:uiPriority w:val="99"/>
    <w:unhideWhenUsed/>
    <w:rsid w:val="003F7D4D"/>
    <w:pPr>
      <w:tabs>
        <w:tab w:val="center" w:pos="4536"/>
        <w:tab w:val="right" w:pos="9072"/>
      </w:tabs>
    </w:pPr>
  </w:style>
  <w:style w:type="character" w:customStyle="1" w:styleId="AltBilgiChar">
    <w:name w:val="Alt Bilgi Char"/>
    <w:basedOn w:val="VarsaylanParagrafYazTipi"/>
    <w:link w:val="AltBilgi"/>
    <w:uiPriority w:val="99"/>
    <w:rsid w:val="003F7D4D"/>
    <w:rPr>
      <w:rFonts w:ascii="Calibri" w:hAnsi="Calibri" w:cs="Calibri"/>
    </w:rPr>
  </w:style>
  <w:style w:type="character" w:styleId="YerTutucuMetni">
    <w:name w:val="Placeholder Text"/>
    <w:basedOn w:val="VarsaylanParagrafYazTipi"/>
    <w:uiPriority w:val="99"/>
    <w:semiHidden/>
    <w:rsid w:val="003F7D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37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A81CD58B-1E0B-445F-A37E-454B76A98ACE}"/>
      </w:docPartPr>
      <w:docPartBody>
        <w:p w:rsidR="00124646" w:rsidRDefault="00A8531C">
          <w:r w:rsidRPr="00C5053B">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pple-system">
    <w:altName w:val="Times New Roman"/>
    <w:charset w:val="00"/>
    <w:family w:val="auto"/>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31C"/>
    <w:rsid w:val="00124646"/>
    <w:rsid w:val="004F662B"/>
    <w:rsid w:val="006F1037"/>
    <w:rsid w:val="0099196C"/>
    <w:rsid w:val="00A8531C"/>
    <w:rsid w:val="00FF40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8531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TBClassification>
  <attrValue xml:space="preserve">Tasnif Dısı/Unclassified</attrValue>
  <customPropName>Gizlilik Derecesi</customPropName>
  <timestamp>5.02.2024 10:38:12</timestamp>
  <userName>MKK\ikizilkaya</userName>
  <computerName>MKKNB11059.MKK.COM.TR</computerName>
  <guid>{1ebf0462-a909-429e-94f7-9e023d08254e}</guid>
  <ftr>
    <r>
      <fontName>arial</fontName>
      <fontColor>000000</fontColor>
      <fontSize>12</fontSize>
      <b/>
      <text xml:space="preserve">Sınıflandırma:</text>
    </r>
    <r>
      <fontName>arial</fontName>
      <fontColor>000000</fontColor>
      <fontSize>12</fontSize>
      <text xml:space="preserve"> </text>
    </r>
    <r>
      <fontName>arial</fontName>
      <fontColor>FF0000</fontColor>
      <fontSize>12</fontSize>
      <b/>
      <text xml:space="preserve">Tasnif Dısı/Unclassified</text>
    </r>
  </ftr>
</GTBClassification>
</file>

<file path=customXml/itemProps1.xml><?xml version="1.0" encoding="utf-8"?>
<ds:datastoreItem xmlns:ds="http://schemas.openxmlformats.org/officeDocument/2006/customXml" ds:itemID="{E2D2F8CD-1EED-4B28-B33E-967573A5497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1167</Words>
  <Characters>6655</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Kızılkaya</dc:creator>
  <cp:keywords>ClassificationData:&lt;Gizlilik Derecesi:Tasnif Dısı/Unclassified&gt;</cp:keywords>
  <dc:description/>
  <cp:lastModifiedBy>Taha Altıkulaç</cp:lastModifiedBy>
  <cp:revision>2</cp:revision>
  <dcterms:created xsi:type="dcterms:W3CDTF">2024-02-06T08:22:00Z</dcterms:created>
  <dcterms:modified xsi:type="dcterms:W3CDTF">2024-02-06T08:22:00Z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izlilik Derecesi">
    <vt:lpwstr>Tasnif Dısı/Unclassified</vt:lpwstr>
  </property>
  <property fmtid="{D5CDD505-2E9C-101B-9397-08002B2CF9AE}" pid="3" name="ClassifiedBy">
    <vt:lpwstr>MKK\ikizilkaya</vt:lpwstr>
  </property>
  <property fmtid="{D5CDD505-2E9C-101B-9397-08002B2CF9AE}" pid="4" name="ClassificationHost">
    <vt:lpwstr>MKKNB11059.MKK.COM.TR</vt:lpwstr>
  </property>
  <property fmtid="{D5CDD505-2E9C-101B-9397-08002B2CF9AE}" pid="5" name="ClassificationDate">
    <vt:lpwstr>5.02.2024 10:38:12</vt:lpwstr>
  </property>
  <property fmtid="{D5CDD505-2E9C-101B-9397-08002B2CF9AE}" pid="6" name="ClassificationGUID">
    <vt:lpwstr>{1ebf0462-a909-429e-94f7-9e023d08254e}</vt:lpwstr>
  </property>
</Properties>
</file>